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bookmarkStart w:id="0" w:name="_GoBack"/>
      <w:bookmarkEnd w:id="0"/>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B91F1F">
        <w:rPr>
          <w:rFonts w:cs="Arial"/>
          <w:b/>
          <w:bCs/>
        </w:rPr>
        <w:t>Audit &amp; Governance Commit</w:t>
      </w:r>
      <w:r w:rsidR="00531D50">
        <w:rPr>
          <w:rFonts w:cs="Arial"/>
          <w:b/>
          <w:bCs/>
        </w:rPr>
        <w:t>t</w:t>
      </w:r>
      <w:r w:rsidR="00B91F1F">
        <w:rPr>
          <w:rFonts w:cs="Arial"/>
          <w:b/>
          <w:bCs/>
        </w:rPr>
        <w: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B91F1F">
        <w:rPr>
          <w:rFonts w:cs="Arial"/>
          <w:b/>
          <w:bCs/>
        </w:rPr>
        <w:t>18 December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531D50">
        <w:rPr>
          <w:rFonts w:cs="Arial"/>
          <w:b/>
          <w:bCs/>
        </w:rPr>
        <w:t>Finance</w:t>
      </w:r>
      <w:r>
        <w:rPr>
          <w:rFonts w:cs="Arial"/>
          <w:b/>
          <w:bCs/>
        </w:rPr>
        <w:tab/>
      </w:r>
    </w:p>
    <w:p w:rsidR="00F4367A" w:rsidRDefault="00F4367A">
      <w:pPr>
        <w:tabs>
          <w:tab w:val="left" w:pos="2160"/>
        </w:tabs>
        <w:rPr>
          <w:rFonts w:cs="Arial"/>
          <w:b/>
          <w:bCs/>
        </w:rPr>
      </w:pPr>
    </w:p>
    <w:p w:rsidR="00F4367A" w:rsidRDefault="00F4367A" w:rsidP="00531D50">
      <w:pPr>
        <w:tabs>
          <w:tab w:val="left" w:pos="2160"/>
        </w:tabs>
        <w:ind w:left="2160" w:hanging="2160"/>
        <w:rPr>
          <w:rFonts w:cs="Arial"/>
          <w:b/>
          <w:bCs/>
        </w:rPr>
      </w:pPr>
      <w:r>
        <w:rPr>
          <w:rFonts w:cs="Arial"/>
          <w:b/>
          <w:bCs/>
        </w:rPr>
        <w:t>Title of Report:</w:t>
      </w:r>
      <w:r>
        <w:rPr>
          <w:rFonts w:cs="Arial"/>
          <w:b/>
          <w:bCs/>
        </w:rPr>
        <w:tab/>
      </w:r>
      <w:r w:rsidR="00531D50">
        <w:rPr>
          <w:rFonts w:cs="Arial"/>
          <w:b/>
          <w:bCs/>
        </w:rPr>
        <w:t>Risk Management Quarterly Reporting: Quarter 2 2014/2015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2E3EE9">
        <w:rPr>
          <w:rFonts w:cs="Arial"/>
        </w:rPr>
        <w:t>To update the Committee on both corporate and service risks as at the end of Quarter 2, 30</w:t>
      </w:r>
      <w:r w:rsidR="002E3EE9" w:rsidRPr="00214DED">
        <w:rPr>
          <w:rFonts w:cs="Arial"/>
          <w:vertAlign w:val="superscript"/>
        </w:rPr>
        <w:t>th</w:t>
      </w:r>
      <w:r w:rsidR="002E3EE9">
        <w:rPr>
          <w:rFonts w:cs="Arial"/>
        </w:rPr>
        <w:t xml:space="preserve"> September 2014.</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2E3EE9">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 No</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2E3EE9">
        <w:rPr>
          <w:rFonts w:cs="Arial"/>
          <w:b/>
          <w:bCs/>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2E3EE9">
        <w:rPr>
          <w:rFonts w:cs="Arial"/>
          <w:b/>
          <w:bCs/>
        </w:rPr>
        <w:t>Corporate Plan - Efficient,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Pr>
          <w:rFonts w:cs="Arial"/>
          <w:b/>
        </w:rPr>
        <w:tab/>
      </w:r>
    </w:p>
    <w:p w:rsidR="002E3EE9" w:rsidRDefault="002E3EE9">
      <w:pPr>
        <w:pBdr>
          <w:top w:val="single" w:sz="4" w:space="1" w:color="auto"/>
          <w:left w:val="single" w:sz="4" w:space="4" w:color="auto"/>
          <w:bottom w:val="single" w:sz="4" w:space="1" w:color="auto"/>
          <w:right w:val="single" w:sz="4" w:space="4" w:color="auto"/>
        </w:pBdr>
        <w:tabs>
          <w:tab w:val="left" w:pos="3048"/>
        </w:tabs>
        <w:rPr>
          <w:rFonts w:cs="Arial"/>
          <w:b/>
        </w:rPr>
      </w:pPr>
    </w:p>
    <w:p w:rsidR="002E3EE9" w:rsidRPr="008E4C68" w:rsidRDefault="002E3EE9" w:rsidP="002E3EE9">
      <w:pPr>
        <w:pBdr>
          <w:top w:val="single" w:sz="4" w:space="1" w:color="auto"/>
          <w:left w:val="single" w:sz="4" w:space="4" w:color="auto"/>
          <w:bottom w:val="single" w:sz="4" w:space="1" w:color="auto"/>
          <w:right w:val="single" w:sz="4" w:space="4" w:color="auto"/>
        </w:pBdr>
        <w:tabs>
          <w:tab w:val="left" w:pos="3048"/>
        </w:tabs>
        <w:rPr>
          <w:rFonts w:cs="Arial"/>
        </w:rPr>
      </w:pPr>
      <w:r w:rsidRPr="008E4C68">
        <w:rPr>
          <w:rFonts w:cs="Arial"/>
        </w:rPr>
        <w:t>The Committee are asked to note the contents of this report</w:t>
      </w:r>
      <w:r>
        <w:rPr>
          <w:rFonts w:cs="Arial"/>
        </w:rPr>
        <w:t>.</w:t>
      </w:r>
    </w:p>
    <w:p w:rsidR="002E3EE9" w:rsidRDefault="002E3EE9">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B6E54" w:rsidRDefault="00713675" w:rsidP="002E3EE9">
      <w:pPr>
        <w:rPr>
          <w:rFonts w:cs="Arial"/>
        </w:rPr>
      </w:pPr>
      <w:r w:rsidRPr="007B6E54">
        <w:rPr>
          <w:rFonts w:cs="Arial"/>
          <w:b/>
        </w:rPr>
        <w:t>Appendi</w:t>
      </w:r>
      <w:r w:rsidR="002E3EE9">
        <w:rPr>
          <w:rFonts w:cs="Arial"/>
          <w:b/>
        </w:rPr>
        <w:t xml:space="preserve">x </w:t>
      </w:r>
      <w:proofErr w:type="gramStart"/>
      <w:r w:rsidR="002E3EE9">
        <w:rPr>
          <w:rFonts w:cs="Arial"/>
          <w:b/>
        </w:rPr>
        <w:t>A</w:t>
      </w:r>
      <w:proofErr w:type="gramEnd"/>
      <w:r w:rsidR="002E3EE9">
        <w:rPr>
          <w:rFonts w:cs="Arial"/>
          <w:b/>
        </w:rPr>
        <w:tab/>
      </w:r>
      <w:r w:rsidR="002E3EE9">
        <w:rPr>
          <w:rFonts w:cs="Arial"/>
          <w:b/>
        </w:rPr>
        <w:tab/>
      </w:r>
      <w:r w:rsidR="002E3EE9">
        <w:rPr>
          <w:rFonts w:cs="Arial"/>
          <w:b/>
        </w:rPr>
        <w:tab/>
        <w:t>Corporate Risk Register</w:t>
      </w:r>
      <w:r>
        <w:rPr>
          <w:rFonts w:cs="Arial"/>
        </w:rPr>
        <w:t xml:space="preserve"> </w:t>
      </w:r>
    </w:p>
    <w:p w:rsidR="007B6E54" w:rsidRDefault="007B6E54">
      <w:pPr>
        <w:rPr>
          <w:rFonts w:cs="Arial"/>
          <w:i/>
        </w:rPr>
      </w:pPr>
    </w:p>
    <w:p w:rsidR="002E3EE9" w:rsidRDefault="002E3EE9" w:rsidP="002E3EE9">
      <w:pPr>
        <w:rPr>
          <w:rFonts w:cs="Arial"/>
          <w:b/>
        </w:rPr>
      </w:pPr>
      <w:r>
        <w:rPr>
          <w:rFonts w:cs="Arial"/>
          <w:b/>
        </w:rPr>
        <w:t xml:space="preserve">Risk Scoring Matrix </w:t>
      </w:r>
    </w:p>
    <w:p w:rsidR="002E3EE9" w:rsidRDefault="002E3EE9" w:rsidP="002E3EE9">
      <w:pPr>
        <w:pStyle w:val="ListParagraph"/>
        <w:jc w:val="both"/>
        <w:rPr>
          <w:rFonts w:cs="Arial"/>
          <w:b/>
        </w:rPr>
      </w:pPr>
    </w:p>
    <w:p w:rsidR="002E3EE9" w:rsidRPr="006A1E89" w:rsidRDefault="002E3EE9" w:rsidP="002E3EE9">
      <w:pPr>
        <w:numPr>
          <w:ilvl w:val="0"/>
          <w:numId w:val="2"/>
        </w:numPr>
        <w:jc w:val="both"/>
        <w:rPr>
          <w:rFonts w:cs="Arial"/>
          <w:b/>
        </w:rPr>
      </w:pPr>
      <w:r w:rsidRPr="00262271">
        <w:rPr>
          <w:rFonts w:cs="Arial"/>
        </w:rPr>
        <w:t xml:space="preserve"> </w:t>
      </w:r>
      <w:r w:rsidRPr="006A1E89">
        <w:rPr>
          <w:rFonts w:cs="Arial"/>
        </w:rPr>
        <w:t>The Council</w:t>
      </w:r>
      <w:r w:rsidR="00622094">
        <w:rPr>
          <w:rFonts w:cs="Arial"/>
        </w:rPr>
        <w:t>’s</w:t>
      </w:r>
      <w:r w:rsidRPr="006A1E89">
        <w:rPr>
          <w:rFonts w:cs="Arial"/>
        </w:rPr>
        <w:t xml:space="preserve"> methodology for scoring risks </w:t>
      </w:r>
      <w:r w:rsidR="00622094">
        <w:rPr>
          <w:rFonts w:cs="Arial"/>
        </w:rPr>
        <w:t xml:space="preserve">is set out </w:t>
      </w:r>
      <w:r w:rsidRPr="006A1E89">
        <w:rPr>
          <w:rFonts w:cs="Arial"/>
        </w:rPr>
        <w:t>below along with a copy of the scoring matrix.</w:t>
      </w:r>
    </w:p>
    <w:p w:rsidR="002E3EE9" w:rsidRPr="006A1E89" w:rsidRDefault="002E3EE9" w:rsidP="002E3EE9">
      <w:pPr>
        <w:ind w:left="720"/>
        <w:jc w:val="both"/>
        <w:rPr>
          <w:rFonts w:cs="Arial"/>
          <w:b/>
        </w:rPr>
      </w:pPr>
    </w:p>
    <w:p w:rsidR="002E3EE9" w:rsidRPr="006A1E89" w:rsidRDefault="002E3EE9" w:rsidP="002E3EE9">
      <w:pPr>
        <w:pStyle w:val="ListParagraph"/>
        <w:rPr>
          <w:rFonts w:cs="Arial"/>
        </w:rPr>
      </w:pPr>
    </w:p>
    <w:p w:rsidR="002E3EE9" w:rsidRPr="006A1E89" w:rsidRDefault="002E3EE9" w:rsidP="002E3EE9">
      <w:pPr>
        <w:numPr>
          <w:ilvl w:val="0"/>
          <w:numId w:val="2"/>
        </w:numPr>
        <w:jc w:val="both"/>
        <w:rPr>
          <w:rFonts w:cs="Arial"/>
          <w:b/>
        </w:rPr>
      </w:pPr>
      <w:r w:rsidRPr="006A1E89">
        <w:rPr>
          <w:rFonts w:cs="Arial"/>
        </w:rPr>
        <w:t xml:space="preserve">You will note it is possible to get the same score but end up with a different result in the heat map. For example if the probability of an event </w:t>
      </w:r>
      <w:r w:rsidR="00622094">
        <w:rPr>
          <w:rFonts w:cs="Arial"/>
        </w:rPr>
        <w:t xml:space="preserve">occurring </w:t>
      </w:r>
      <w:r w:rsidRPr="006A1E89">
        <w:rPr>
          <w:rFonts w:cs="Arial"/>
        </w:rPr>
        <w:t>is high but the impact is low it is likely to have a lower score on the heat map. However</w:t>
      </w:r>
      <w:r w:rsidR="00622094">
        <w:rPr>
          <w:rFonts w:cs="Arial"/>
        </w:rPr>
        <w:t>,</w:t>
      </w:r>
      <w:r w:rsidRPr="006A1E89">
        <w:rPr>
          <w:rFonts w:cs="Arial"/>
        </w:rPr>
        <w:t xml:space="preserve"> the higher the potential impact score the more likely the event will be classed as a red risk on the </w:t>
      </w:r>
      <w:r w:rsidR="00CB1ED3">
        <w:rPr>
          <w:rFonts w:cs="Arial"/>
        </w:rPr>
        <w:t>matrix</w:t>
      </w:r>
      <w:r w:rsidRPr="006A1E89">
        <w:rPr>
          <w:rFonts w:cs="Arial"/>
        </w:rPr>
        <w:t>.</w:t>
      </w:r>
    </w:p>
    <w:p w:rsidR="002E3EE9" w:rsidRPr="006B1F07" w:rsidRDefault="002E3EE9" w:rsidP="002E3EE9">
      <w:pPr>
        <w:ind w:left="720"/>
        <w:rPr>
          <w:rFonts w:cs="Arial"/>
          <w:b/>
          <w:sz w:val="20"/>
          <w:szCs w:val="22"/>
          <w:highlight w:val="yellow"/>
        </w:rPr>
      </w:pPr>
    </w:p>
    <w:tbl>
      <w:tblPr>
        <w:tblW w:w="5564" w:type="pct"/>
        <w:tblInd w:w="-950" w:type="dxa"/>
        <w:tblLayout w:type="fixed"/>
        <w:tblCellMar>
          <w:left w:w="0" w:type="dxa"/>
          <w:right w:w="0" w:type="dxa"/>
        </w:tblCellMar>
        <w:tblLook w:val="0000" w:firstRow="0" w:lastRow="0" w:firstColumn="0" w:lastColumn="0" w:noHBand="0" w:noVBand="0"/>
      </w:tblPr>
      <w:tblGrid>
        <w:gridCol w:w="681"/>
        <w:gridCol w:w="1551"/>
        <w:gridCol w:w="998"/>
        <w:gridCol w:w="1300"/>
        <w:gridCol w:w="1223"/>
        <w:gridCol w:w="1113"/>
        <w:gridCol w:w="1113"/>
        <w:gridCol w:w="1297"/>
      </w:tblGrid>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18"/>
                <w:szCs w:val="18"/>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b/>
                <w:sz w:val="22"/>
                <w:szCs w:val="22"/>
              </w:rPr>
            </w:pPr>
            <w:r w:rsidRPr="002D2AFC">
              <w:rPr>
                <w:rFonts w:ascii="Verdana" w:hAnsi="Verdana" w:cs="Arial"/>
                <w:b/>
                <w:sz w:val="22"/>
                <w:szCs w:val="22"/>
              </w:rPr>
              <w:t>Probability</w:t>
            </w:r>
          </w:p>
        </w:tc>
        <w:tc>
          <w:tcPr>
            <w:tcW w:w="538"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b/>
                <w:sz w:val="20"/>
                <w:szCs w:val="20"/>
              </w:rPr>
            </w:pPr>
          </w:p>
        </w:tc>
        <w:tc>
          <w:tcPr>
            <w:tcW w:w="701"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659"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600"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600"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699" w:type="pct"/>
            <w:tcBorders>
              <w:top w:val="nil"/>
              <w:left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Almost          Certain</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5</w:t>
            </w:r>
          </w:p>
        </w:tc>
        <w:tc>
          <w:tcPr>
            <w:tcW w:w="701" w:type="pct"/>
            <w:tcBorders>
              <w:top w:val="nil"/>
              <w:left w:val="single" w:sz="18" w:space="0" w:color="auto"/>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5</w:t>
            </w:r>
          </w:p>
        </w:tc>
        <w:tc>
          <w:tcPr>
            <w:tcW w:w="659" w:type="pct"/>
            <w:tcBorders>
              <w:top w:val="nil"/>
              <w:left w:val="nil"/>
              <w:bottom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10</w:t>
            </w:r>
          </w:p>
        </w:tc>
        <w:tc>
          <w:tcPr>
            <w:tcW w:w="600"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15</w:t>
            </w:r>
          </w:p>
        </w:tc>
        <w:tc>
          <w:tcPr>
            <w:tcW w:w="600" w:type="pct"/>
            <w:tcBorders>
              <w:top w:val="nil"/>
              <w:left w:val="nil"/>
              <w:bottom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20</w:t>
            </w:r>
          </w:p>
        </w:tc>
        <w:tc>
          <w:tcPr>
            <w:tcW w:w="699" w:type="pct"/>
            <w:tcBorders>
              <w:top w:val="nil"/>
              <w:left w:val="nil"/>
              <w:bottom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25</w:t>
            </w: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Likely</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4</w:t>
            </w:r>
          </w:p>
        </w:tc>
        <w:tc>
          <w:tcPr>
            <w:tcW w:w="701" w:type="pct"/>
            <w:tcBorders>
              <w:top w:val="nil"/>
              <w:left w:val="single" w:sz="18" w:space="0" w:color="auto"/>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4</w:t>
            </w:r>
          </w:p>
        </w:tc>
        <w:tc>
          <w:tcPr>
            <w:tcW w:w="659"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8</w:t>
            </w:r>
          </w:p>
        </w:tc>
        <w:tc>
          <w:tcPr>
            <w:tcW w:w="600"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12</w:t>
            </w:r>
          </w:p>
        </w:tc>
        <w:tc>
          <w:tcPr>
            <w:tcW w:w="600" w:type="pct"/>
            <w:tcBorders>
              <w:top w:val="nil"/>
              <w:left w:val="nil"/>
              <w:bottom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16</w:t>
            </w:r>
          </w:p>
        </w:tc>
        <w:tc>
          <w:tcPr>
            <w:tcW w:w="699" w:type="pct"/>
            <w:tcBorders>
              <w:top w:val="nil"/>
              <w:left w:val="nil"/>
              <w:bottom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20</w:t>
            </w: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Possible</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3</w:t>
            </w:r>
          </w:p>
        </w:tc>
        <w:tc>
          <w:tcPr>
            <w:tcW w:w="701" w:type="pct"/>
            <w:tcBorders>
              <w:top w:val="nil"/>
              <w:left w:val="single" w:sz="18" w:space="0" w:color="auto"/>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3</w:t>
            </w:r>
          </w:p>
        </w:tc>
        <w:tc>
          <w:tcPr>
            <w:tcW w:w="659" w:type="pct"/>
            <w:tcBorders>
              <w:top w:val="nil"/>
              <w:left w:val="nil"/>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6</w:t>
            </w:r>
          </w:p>
        </w:tc>
        <w:tc>
          <w:tcPr>
            <w:tcW w:w="600"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9</w:t>
            </w:r>
          </w:p>
        </w:tc>
        <w:tc>
          <w:tcPr>
            <w:tcW w:w="600" w:type="pct"/>
            <w:tcBorders>
              <w:top w:val="nil"/>
              <w:left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12</w:t>
            </w:r>
          </w:p>
        </w:tc>
        <w:tc>
          <w:tcPr>
            <w:tcW w:w="699" w:type="pct"/>
            <w:tcBorders>
              <w:top w:val="nil"/>
              <w:left w:val="nil"/>
              <w:right w:val="nil"/>
            </w:tcBorders>
            <w:shd w:val="thinDiagCross"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15</w:t>
            </w: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Unlikely</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2</w:t>
            </w:r>
          </w:p>
        </w:tc>
        <w:tc>
          <w:tcPr>
            <w:tcW w:w="701" w:type="pct"/>
            <w:tcBorders>
              <w:top w:val="nil"/>
              <w:left w:val="single" w:sz="18" w:space="0" w:color="auto"/>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2</w:t>
            </w:r>
          </w:p>
        </w:tc>
        <w:tc>
          <w:tcPr>
            <w:tcW w:w="659" w:type="pct"/>
            <w:tcBorders>
              <w:top w:val="nil"/>
              <w:left w:val="nil"/>
              <w:bottom w:val="nil"/>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4</w:t>
            </w:r>
          </w:p>
        </w:tc>
        <w:tc>
          <w:tcPr>
            <w:tcW w:w="600" w:type="pct"/>
            <w:tcBorders>
              <w:top w:val="nil"/>
              <w:left w:val="nil"/>
              <w:right w:val="nil"/>
            </w:tcBorders>
            <w:shd w:val="thinHorz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6</w:t>
            </w:r>
          </w:p>
        </w:tc>
        <w:tc>
          <w:tcPr>
            <w:tcW w:w="600"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8</w:t>
            </w:r>
          </w:p>
        </w:tc>
        <w:tc>
          <w:tcPr>
            <w:tcW w:w="699" w:type="pct"/>
            <w:tcBorders>
              <w:top w:val="nil"/>
              <w:left w:val="nil"/>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10</w:t>
            </w: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Rare</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1</w:t>
            </w:r>
          </w:p>
        </w:tc>
        <w:tc>
          <w:tcPr>
            <w:tcW w:w="701" w:type="pct"/>
            <w:tcBorders>
              <w:top w:val="nil"/>
              <w:left w:val="single" w:sz="18" w:space="0" w:color="auto"/>
              <w:bottom w:val="single" w:sz="18" w:space="0" w:color="auto"/>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1</w:t>
            </w:r>
          </w:p>
        </w:tc>
        <w:tc>
          <w:tcPr>
            <w:tcW w:w="659" w:type="pct"/>
            <w:tcBorders>
              <w:top w:val="nil"/>
              <w:left w:val="nil"/>
              <w:bottom w:val="single" w:sz="18" w:space="0" w:color="auto"/>
              <w:right w:val="nil"/>
            </w:tcBorders>
            <w:shd w:val="thinHorzStripe" w:color="auto" w:fill="FFFFFF" w:themeFill="background1"/>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2</w:t>
            </w:r>
          </w:p>
        </w:tc>
        <w:tc>
          <w:tcPr>
            <w:tcW w:w="600" w:type="pct"/>
            <w:tcBorders>
              <w:top w:val="nil"/>
              <w:left w:val="nil"/>
              <w:bottom w:val="single" w:sz="18" w:space="0" w:color="auto"/>
              <w:right w:val="nil"/>
            </w:tcBorders>
            <w:shd w:val="thinHorz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3</w:t>
            </w:r>
          </w:p>
        </w:tc>
        <w:tc>
          <w:tcPr>
            <w:tcW w:w="600" w:type="pct"/>
            <w:tcBorders>
              <w:top w:val="nil"/>
              <w:left w:val="nil"/>
              <w:bottom w:val="single" w:sz="18" w:space="0" w:color="auto"/>
              <w:right w:val="nil"/>
            </w:tcBorders>
            <w:shd w:val="thinHorz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4</w:t>
            </w:r>
          </w:p>
        </w:tc>
        <w:tc>
          <w:tcPr>
            <w:tcW w:w="699" w:type="pct"/>
            <w:tcBorders>
              <w:top w:val="nil"/>
              <w:left w:val="nil"/>
              <w:bottom w:val="single" w:sz="18" w:space="0" w:color="auto"/>
              <w:right w:val="nil"/>
            </w:tcBorders>
            <w:shd w:val="thinVertStripe" w:color="auto" w:fill="auto"/>
            <w:noWrap/>
            <w:tcMar>
              <w:top w:w="15" w:type="dxa"/>
              <w:left w:w="15" w:type="dxa"/>
              <w:bottom w:w="0" w:type="dxa"/>
              <w:right w:w="15" w:type="dxa"/>
            </w:tcMar>
            <w:vAlign w:val="center"/>
          </w:tcPr>
          <w:p w:rsidR="001A161B" w:rsidRPr="002D2AFC" w:rsidRDefault="001A161B" w:rsidP="007703A5">
            <w:pPr>
              <w:jc w:val="center"/>
              <w:rPr>
                <w:rFonts w:ascii="Verdana" w:hAnsi="Verdana" w:cs="Arial"/>
                <w:b/>
                <w:bCs/>
              </w:rPr>
            </w:pPr>
            <w:r w:rsidRPr="002D2AFC">
              <w:rPr>
                <w:rFonts w:ascii="Verdana" w:hAnsi="Verdana" w:cs="Arial"/>
                <w:b/>
                <w:bCs/>
              </w:rPr>
              <w:t>5</w:t>
            </w:r>
          </w:p>
        </w:tc>
      </w:tr>
      <w:tr w:rsidR="001A161B" w:rsidRPr="002D2AFC" w:rsidTr="007703A5">
        <w:trPr>
          <w:trHeight w:val="27"/>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538"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20"/>
                <w:szCs w:val="20"/>
              </w:rPr>
            </w:pPr>
          </w:p>
        </w:tc>
        <w:tc>
          <w:tcPr>
            <w:tcW w:w="701" w:type="pct"/>
            <w:tcBorders>
              <w:top w:val="single" w:sz="18" w:space="0" w:color="auto"/>
              <w:left w:val="nil"/>
              <w:bottom w:val="nil"/>
              <w:right w:val="nil"/>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1</w:t>
            </w:r>
          </w:p>
        </w:tc>
        <w:tc>
          <w:tcPr>
            <w:tcW w:w="659" w:type="pct"/>
            <w:tcBorders>
              <w:top w:val="single" w:sz="18" w:space="0" w:color="auto"/>
              <w:left w:val="nil"/>
              <w:bottom w:val="nil"/>
              <w:right w:val="nil"/>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2</w:t>
            </w:r>
          </w:p>
        </w:tc>
        <w:tc>
          <w:tcPr>
            <w:tcW w:w="600" w:type="pct"/>
            <w:tcBorders>
              <w:top w:val="single" w:sz="18" w:space="0" w:color="auto"/>
              <w:left w:val="nil"/>
              <w:bottom w:val="nil"/>
              <w:right w:val="nil"/>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3</w:t>
            </w:r>
          </w:p>
        </w:tc>
        <w:tc>
          <w:tcPr>
            <w:tcW w:w="600" w:type="pct"/>
            <w:tcBorders>
              <w:top w:val="single" w:sz="18" w:space="0" w:color="auto"/>
              <w:left w:val="nil"/>
              <w:bottom w:val="nil"/>
              <w:right w:val="nil"/>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4</w:t>
            </w:r>
          </w:p>
        </w:tc>
        <w:tc>
          <w:tcPr>
            <w:tcW w:w="699" w:type="pct"/>
            <w:tcBorders>
              <w:top w:val="single" w:sz="18" w:space="0" w:color="auto"/>
              <w:left w:val="nil"/>
              <w:bottom w:val="nil"/>
              <w:right w:val="nil"/>
            </w:tcBorders>
            <w:noWrap/>
            <w:tcMar>
              <w:top w:w="15" w:type="dxa"/>
              <w:left w:w="15" w:type="dxa"/>
              <w:bottom w:w="0" w:type="dxa"/>
              <w:right w:w="15" w:type="dxa"/>
            </w:tcMar>
            <w:vAlign w:val="center"/>
          </w:tcPr>
          <w:p w:rsidR="001A161B" w:rsidRPr="002D2AFC" w:rsidRDefault="001A161B" w:rsidP="007703A5">
            <w:pPr>
              <w:jc w:val="center"/>
              <w:rPr>
                <w:rFonts w:ascii="Verdana" w:hAnsi="Verdana" w:cs="Arial"/>
                <w:sz w:val="20"/>
                <w:szCs w:val="20"/>
              </w:rPr>
            </w:pPr>
            <w:r w:rsidRPr="002D2AFC">
              <w:rPr>
                <w:rFonts w:ascii="Verdana" w:hAnsi="Verdana" w:cs="Arial"/>
                <w:sz w:val="20"/>
                <w:szCs w:val="20"/>
              </w:rPr>
              <w:t>5</w:t>
            </w:r>
          </w:p>
        </w:tc>
      </w:tr>
      <w:tr w:rsidR="001A161B" w:rsidRPr="002D2AFC" w:rsidTr="007703A5">
        <w:trPr>
          <w:trHeight w:val="673"/>
        </w:trPr>
        <w:tc>
          <w:tcPr>
            <w:tcW w:w="367"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18"/>
                <w:szCs w:val="20"/>
              </w:rPr>
            </w:pPr>
          </w:p>
        </w:tc>
        <w:tc>
          <w:tcPr>
            <w:tcW w:w="836"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sz w:val="18"/>
                <w:szCs w:val="20"/>
              </w:rPr>
            </w:pPr>
          </w:p>
        </w:tc>
        <w:tc>
          <w:tcPr>
            <w:tcW w:w="538"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rPr>
                <w:rFonts w:ascii="Verdana" w:hAnsi="Verdana" w:cs="Arial"/>
                <w:b/>
                <w:bCs/>
                <w:sz w:val="22"/>
                <w:szCs w:val="22"/>
              </w:rPr>
            </w:pPr>
            <w:r w:rsidRPr="002D2AFC">
              <w:rPr>
                <w:rFonts w:ascii="Verdana" w:hAnsi="Verdana" w:cs="Arial"/>
                <w:b/>
                <w:bCs/>
                <w:sz w:val="22"/>
                <w:szCs w:val="22"/>
              </w:rPr>
              <w:t>Impact</w:t>
            </w:r>
          </w:p>
        </w:tc>
        <w:tc>
          <w:tcPr>
            <w:tcW w:w="701"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18"/>
                <w:szCs w:val="20"/>
              </w:rPr>
            </w:pPr>
            <w:r w:rsidRPr="002D2AFC">
              <w:rPr>
                <w:rFonts w:ascii="Verdana" w:hAnsi="Verdana" w:cs="Arial"/>
                <w:sz w:val="18"/>
                <w:szCs w:val="20"/>
              </w:rPr>
              <w:t>Negligible</w:t>
            </w:r>
          </w:p>
        </w:tc>
        <w:tc>
          <w:tcPr>
            <w:tcW w:w="659"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18"/>
                <w:szCs w:val="20"/>
              </w:rPr>
            </w:pPr>
            <w:r w:rsidRPr="002D2AFC">
              <w:rPr>
                <w:rFonts w:ascii="Verdana" w:hAnsi="Verdana" w:cs="Arial"/>
                <w:sz w:val="18"/>
                <w:szCs w:val="20"/>
              </w:rPr>
              <w:t>Low</w:t>
            </w:r>
          </w:p>
        </w:tc>
        <w:tc>
          <w:tcPr>
            <w:tcW w:w="600"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18"/>
                <w:szCs w:val="20"/>
              </w:rPr>
            </w:pPr>
            <w:r w:rsidRPr="002D2AFC">
              <w:rPr>
                <w:rFonts w:ascii="Verdana" w:hAnsi="Verdana" w:cs="Arial"/>
                <w:sz w:val="18"/>
                <w:szCs w:val="20"/>
              </w:rPr>
              <w:t>Medium</w:t>
            </w:r>
          </w:p>
        </w:tc>
        <w:tc>
          <w:tcPr>
            <w:tcW w:w="600"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18"/>
                <w:szCs w:val="20"/>
              </w:rPr>
            </w:pPr>
            <w:r w:rsidRPr="002D2AFC">
              <w:rPr>
                <w:rFonts w:ascii="Verdana" w:hAnsi="Verdana" w:cs="Arial"/>
                <w:sz w:val="18"/>
                <w:szCs w:val="20"/>
              </w:rPr>
              <w:t>High</w:t>
            </w:r>
          </w:p>
        </w:tc>
        <w:tc>
          <w:tcPr>
            <w:tcW w:w="699" w:type="pct"/>
            <w:tcBorders>
              <w:top w:val="nil"/>
              <w:left w:val="nil"/>
              <w:bottom w:val="nil"/>
              <w:right w:val="nil"/>
            </w:tcBorders>
            <w:noWrap/>
            <w:tcMar>
              <w:top w:w="15" w:type="dxa"/>
              <w:left w:w="15" w:type="dxa"/>
              <w:bottom w:w="0" w:type="dxa"/>
              <w:right w:w="15" w:type="dxa"/>
            </w:tcMar>
            <w:vAlign w:val="bottom"/>
          </w:tcPr>
          <w:p w:rsidR="001A161B" w:rsidRPr="002D2AFC" w:rsidRDefault="001A161B" w:rsidP="007703A5">
            <w:pPr>
              <w:jc w:val="center"/>
              <w:rPr>
                <w:rFonts w:ascii="Verdana" w:hAnsi="Verdana" w:cs="Arial"/>
                <w:sz w:val="18"/>
                <w:szCs w:val="20"/>
              </w:rPr>
            </w:pPr>
            <w:r w:rsidRPr="002D2AFC">
              <w:rPr>
                <w:rFonts w:ascii="Verdana" w:hAnsi="Verdana" w:cs="Arial"/>
                <w:sz w:val="18"/>
                <w:szCs w:val="20"/>
              </w:rPr>
              <w:t>Very High</w:t>
            </w:r>
          </w:p>
        </w:tc>
      </w:tr>
    </w:tbl>
    <w:p w:rsidR="001A161B" w:rsidRPr="002D2AFC" w:rsidRDefault="001A161B" w:rsidP="001A161B"/>
    <w:tbl>
      <w:tblPr>
        <w:tblStyle w:val="TableGrid"/>
        <w:tblpPr w:leftFromText="180" w:rightFromText="180" w:vertAnchor="text" w:horzAnchor="margin" w:tblpXSpec="right" w:tblpY="87"/>
        <w:tblW w:w="0" w:type="auto"/>
        <w:tblLook w:val="04A0" w:firstRow="1" w:lastRow="0" w:firstColumn="1" w:lastColumn="0" w:noHBand="0" w:noVBand="1"/>
      </w:tblPr>
      <w:tblGrid>
        <w:gridCol w:w="2150"/>
        <w:gridCol w:w="2158"/>
        <w:gridCol w:w="2111"/>
      </w:tblGrid>
      <w:tr w:rsidR="001A161B" w:rsidRPr="002D2AFC" w:rsidTr="007703A5">
        <w:trPr>
          <w:trHeight w:val="277"/>
        </w:trPr>
        <w:tc>
          <w:tcPr>
            <w:tcW w:w="2150" w:type="dxa"/>
            <w:shd w:val="clear" w:color="auto" w:fill="00B050"/>
          </w:tcPr>
          <w:p w:rsidR="001A161B" w:rsidRPr="002D2AFC" w:rsidRDefault="001A161B" w:rsidP="007703A5">
            <w:pPr>
              <w:jc w:val="center"/>
              <w:rPr>
                <w:b/>
                <w:color w:val="FFFFFF" w:themeColor="background1"/>
              </w:rPr>
            </w:pPr>
            <w:r w:rsidRPr="002D2AFC">
              <w:rPr>
                <w:b/>
                <w:color w:val="FFFFFF" w:themeColor="background1"/>
              </w:rPr>
              <w:t>Green</w:t>
            </w:r>
          </w:p>
        </w:tc>
        <w:tc>
          <w:tcPr>
            <w:tcW w:w="2158" w:type="dxa"/>
            <w:shd w:val="clear" w:color="auto" w:fill="FFC000"/>
          </w:tcPr>
          <w:p w:rsidR="001A161B" w:rsidRPr="002D2AFC" w:rsidRDefault="001A161B" w:rsidP="007703A5">
            <w:pPr>
              <w:jc w:val="center"/>
              <w:rPr>
                <w:b/>
                <w:color w:val="FFFFFF" w:themeColor="background1"/>
              </w:rPr>
            </w:pPr>
            <w:r w:rsidRPr="002D2AFC">
              <w:rPr>
                <w:b/>
                <w:color w:val="FFFFFF" w:themeColor="background1"/>
              </w:rPr>
              <w:t>Amber</w:t>
            </w:r>
          </w:p>
        </w:tc>
        <w:tc>
          <w:tcPr>
            <w:tcW w:w="2111" w:type="dxa"/>
            <w:shd w:val="clear" w:color="auto" w:fill="FF0000"/>
          </w:tcPr>
          <w:p w:rsidR="001A161B" w:rsidRPr="002D2AFC" w:rsidRDefault="001A161B" w:rsidP="007703A5">
            <w:pPr>
              <w:jc w:val="center"/>
              <w:rPr>
                <w:b/>
                <w:color w:val="FFFFFF" w:themeColor="background1"/>
              </w:rPr>
            </w:pPr>
            <w:r w:rsidRPr="002D2AFC">
              <w:rPr>
                <w:b/>
                <w:color w:val="FFFFFF" w:themeColor="background1"/>
              </w:rPr>
              <w:t>Red</w:t>
            </w:r>
          </w:p>
        </w:tc>
      </w:tr>
      <w:tr w:rsidR="001A161B" w:rsidRPr="002D2AFC" w:rsidTr="007703A5">
        <w:trPr>
          <w:trHeight w:val="292"/>
        </w:trPr>
        <w:tc>
          <w:tcPr>
            <w:tcW w:w="2150" w:type="dxa"/>
            <w:shd w:val="thinHorzStripe" w:color="auto" w:fill="auto"/>
          </w:tcPr>
          <w:p w:rsidR="001A161B" w:rsidRPr="002D2AFC" w:rsidRDefault="001A161B" w:rsidP="007703A5"/>
        </w:tc>
        <w:tc>
          <w:tcPr>
            <w:tcW w:w="2158" w:type="dxa"/>
            <w:shd w:val="thinVertStripe" w:color="auto" w:fill="auto"/>
          </w:tcPr>
          <w:p w:rsidR="001A161B" w:rsidRPr="002D2AFC" w:rsidRDefault="001A161B" w:rsidP="007703A5"/>
        </w:tc>
        <w:tc>
          <w:tcPr>
            <w:tcW w:w="2111" w:type="dxa"/>
            <w:shd w:val="thinDiagCross" w:color="auto" w:fill="auto"/>
          </w:tcPr>
          <w:p w:rsidR="001A161B" w:rsidRPr="002D2AFC" w:rsidRDefault="001A161B" w:rsidP="007703A5"/>
        </w:tc>
      </w:tr>
    </w:tbl>
    <w:p w:rsidR="001A161B" w:rsidRPr="002D2AFC" w:rsidRDefault="001A161B" w:rsidP="001A161B">
      <w:pPr>
        <w:rPr>
          <w:b/>
        </w:rPr>
      </w:pPr>
      <w:r w:rsidRPr="002D2AFC">
        <w:rPr>
          <w:b/>
        </w:rPr>
        <w:t>Key:</w:t>
      </w:r>
    </w:p>
    <w:p w:rsidR="001A161B" w:rsidRPr="002D2AFC" w:rsidRDefault="001A161B" w:rsidP="001A161B">
      <w:pPr>
        <w:ind w:left="1440" w:firstLine="720"/>
      </w:pPr>
    </w:p>
    <w:p w:rsidR="001A161B" w:rsidRDefault="001A161B" w:rsidP="001A161B">
      <w:pPr>
        <w:ind w:left="720"/>
        <w:rPr>
          <w:rFonts w:cs="Arial"/>
          <w:b/>
          <w:sz w:val="20"/>
          <w:szCs w:val="22"/>
        </w:rPr>
      </w:pPr>
    </w:p>
    <w:p w:rsidR="002E3EE9" w:rsidRPr="00D8666A" w:rsidRDefault="002E3EE9" w:rsidP="002E3EE9">
      <w:pPr>
        <w:ind w:left="720"/>
        <w:rPr>
          <w:rFonts w:cs="Arial"/>
        </w:rPr>
      </w:pPr>
    </w:p>
    <w:p w:rsidR="002E3EE9" w:rsidRPr="00D8666A" w:rsidRDefault="002E3EE9" w:rsidP="002E3EE9">
      <w:pPr>
        <w:rPr>
          <w:rFonts w:cs="Arial"/>
          <w:b/>
        </w:rPr>
      </w:pPr>
      <w:r w:rsidRPr="00D8666A">
        <w:rPr>
          <w:rFonts w:cs="Arial"/>
          <w:b/>
        </w:rPr>
        <w:t>Risk Identification</w:t>
      </w:r>
    </w:p>
    <w:p w:rsidR="002E3EE9" w:rsidRPr="00D8666A" w:rsidRDefault="002E3EE9" w:rsidP="002E3EE9">
      <w:pPr>
        <w:rPr>
          <w:rFonts w:cs="Arial"/>
          <w:b/>
        </w:rPr>
      </w:pPr>
    </w:p>
    <w:p w:rsidR="002E3EE9" w:rsidRPr="00D8666A" w:rsidRDefault="002E3EE9" w:rsidP="002E3EE9">
      <w:pPr>
        <w:numPr>
          <w:ilvl w:val="0"/>
          <w:numId w:val="2"/>
        </w:numPr>
        <w:jc w:val="both"/>
        <w:rPr>
          <w:rFonts w:cs="Arial"/>
          <w:b/>
        </w:rPr>
      </w:pPr>
      <w:r w:rsidRPr="00D8666A">
        <w:rPr>
          <w:rFonts w:cs="Arial"/>
          <w:b/>
        </w:rPr>
        <w:t xml:space="preserve">Corporate Risks – </w:t>
      </w:r>
      <w:r w:rsidRPr="00D8666A">
        <w:rPr>
          <w:rFonts w:cs="Arial"/>
        </w:rPr>
        <w:t xml:space="preserve">The Corporate Risk Register (CRR) is reviewed by the Corporate Management Team (CMT) on a quarterly basis, any new risks are incorporated into a revised version of the CRR.  Risk owners for corporate risks are generally held at Director </w:t>
      </w:r>
      <w:proofErr w:type="gramStart"/>
      <w:r w:rsidRPr="00D8666A">
        <w:rPr>
          <w:rFonts w:cs="Arial"/>
        </w:rPr>
        <w:t>level</w:t>
      </w:r>
      <w:proofErr w:type="gramEnd"/>
      <w:r w:rsidRPr="00D8666A">
        <w:rPr>
          <w:rFonts w:cs="Arial"/>
        </w:rPr>
        <w:t>.</w:t>
      </w:r>
    </w:p>
    <w:p w:rsidR="002E3EE9" w:rsidRPr="00D8666A" w:rsidRDefault="002E3EE9" w:rsidP="002E3EE9">
      <w:pPr>
        <w:ind w:left="360"/>
        <w:rPr>
          <w:rFonts w:cs="Arial"/>
          <w:b/>
        </w:rPr>
      </w:pPr>
    </w:p>
    <w:p w:rsidR="002E3EE9" w:rsidRPr="00D8666A" w:rsidRDefault="002E3EE9" w:rsidP="002E3EE9">
      <w:pPr>
        <w:numPr>
          <w:ilvl w:val="0"/>
          <w:numId w:val="2"/>
        </w:numPr>
        <w:jc w:val="both"/>
        <w:rPr>
          <w:rFonts w:cs="Arial"/>
          <w:b/>
        </w:rPr>
      </w:pPr>
      <w:r w:rsidRPr="00D8666A">
        <w:rPr>
          <w:rFonts w:cs="Arial"/>
          <w:b/>
        </w:rPr>
        <w:t xml:space="preserve">Service Risks – </w:t>
      </w:r>
      <w:r w:rsidRPr="00D8666A">
        <w:rPr>
          <w:rFonts w:cs="Arial"/>
        </w:rPr>
        <w:t>Service area risks are reviewed periodically by Heads of Service and Service Managers.  The Financial Accounting Manager has oversight of all risks and on a quarterly basis will review service risks to determine the need for inclusion in the Corporate Risk Register.</w:t>
      </w:r>
    </w:p>
    <w:p w:rsidR="002E3EE9" w:rsidRPr="00D8666A" w:rsidRDefault="002E3EE9" w:rsidP="002E3EE9">
      <w:pPr>
        <w:rPr>
          <w:rFonts w:cs="Arial"/>
          <w:b/>
        </w:rPr>
      </w:pPr>
    </w:p>
    <w:p w:rsidR="002E3EE9" w:rsidRPr="00D8666A" w:rsidRDefault="002E3EE9" w:rsidP="002E3EE9">
      <w:pPr>
        <w:numPr>
          <w:ilvl w:val="0"/>
          <w:numId w:val="2"/>
        </w:numPr>
        <w:jc w:val="both"/>
        <w:rPr>
          <w:rFonts w:cs="Arial"/>
          <w:b/>
        </w:rPr>
      </w:pPr>
      <w:r w:rsidRPr="00D8666A">
        <w:rPr>
          <w:rFonts w:cs="Arial"/>
          <w:b/>
        </w:rPr>
        <w:t xml:space="preserve">Project and Programme Risk – </w:t>
      </w:r>
      <w:r w:rsidRPr="00D8666A">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2E3EE9" w:rsidRPr="00D8666A" w:rsidRDefault="002E3EE9" w:rsidP="002E3EE9">
      <w:pPr>
        <w:pStyle w:val="ListParagraph"/>
        <w:rPr>
          <w:rFonts w:cs="Arial"/>
          <w:b/>
        </w:rPr>
      </w:pPr>
    </w:p>
    <w:p w:rsidR="002E3EE9" w:rsidRPr="002B36CF" w:rsidRDefault="002E3EE9" w:rsidP="002E3EE9">
      <w:pPr>
        <w:rPr>
          <w:rFonts w:cs="Arial"/>
          <w:b/>
        </w:rPr>
      </w:pPr>
      <w:r w:rsidRPr="002B36CF">
        <w:rPr>
          <w:rFonts w:cs="Arial"/>
          <w:b/>
        </w:rPr>
        <w:t xml:space="preserve">Corporate Risk Register </w:t>
      </w:r>
    </w:p>
    <w:p w:rsidR="002E3EE9" w:rsidRPr="002B36CF" w:rsidRDefault="002E3EE9" w:rsidP="002E3EE9">
      <w:pPr>
        <w:rPr>
          <w:rFonts w:cs="Arial"/>
          <w:b/>
        </w:rPr>
      </w:pPr>
    </w:p>
    <w:p w:rsidR="002E3EE9" w:rsidRPr="006E4537" w:rsidRDefault="002E3EE9" w:rsidP="002E3EE9">
      <w:pPr>
        <w:numPr>
          <w:ilvl w:val="0"/>
          <w:numId w:val="2"/>
        </w:numPr>
        <w:jc w:val="both"/>
        <w:rPr>
          <w:rFonts w:cs="Arial"/>
          <w:b/>
        </w:rPr>
      </w:pPr>
      <w:r w:rsidRPr="006E4537">
        <w:rPr>
          <w:rFonts w:cs="Arial"/>
        </w:rPr>
        <w:t xml:space="preserve">The current Corporate Risk Register (Appendix A) shows </w:t>
      </w:r>
      <w:r>
        <w:rPr>
          <w:rFonts w:cs="Arial"/>
        </w:rPr>
        <w:t xml:space="preserve">that there are </w:t>
      </w:r>
      <w:r w:rsidRPr="006E4537">
        <w:rPr>
          <w:rFonts w:cs="Arial"/>
        </w:rPr>
        <w:t>no red risks</w:t>
      </w:r>
      <w:r>
        <w:rPr>
          <w:rFonts w:cs="Arial"/>
        </w:rPr>
        <w:t xml:space="preserve"> and that the current risks have remained at the same level since Q4 2014.</w:t>
      </w:r>
      <w:r w:rsidRPr="006E4537">
        <w:rPr>
          <w:rFonts w:cs="Arial"/>
        </w:rPr>
        <w:t xml:space="preserve"> The table below shows the movement of risks over the last 15 months. </w:t>
      </w:r>
    </w:p>
    <w:tbl>
      <w:tblPr>
        <w:tblW w:w="8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9"/>
        <w:gridCol w:w="1134"/>
        <w:gridCol w:w="1276"/>
        <w:gridCol w:w="1276"/>
        <w:gridCol w:w="1276"/>
        <w:gridCol w:w="1276"/>
      </w:tblGrid>
      <w:tr w:rsidR="002E3EE9" w:rsidRPr="002B36CF" w:rsidTr="007703A5">
        <w:trPr>
          <w:trHeight w:val="240"/>
        </w:trPr>
        <w:tc>
          <w:tcPr>
            <w:tcW w:w="1809" w:type="dxa"/>
            <w:shd w:val="clear" w:color="auto" w:fill="auto"/>
            <w:noWrap/>
            <w:vAlign w:val="bottom"/>
          </w:tcPr>
          <w:p w:rsidR="002E3EE9" w:rsidRPr="002B36CF" w:rsidRDefault="002E3EE9" w:rsidP="007703A5">
            <w:pPr>
              <w:rPr>
                <w:rFonts w:cs="Arial"/>
                <w:b/>
                <w:lang w:val="en-US"/>
              </w:rPr>
            </w:pPr>
            <w:r w:rsidRPr="002B36CF">
              <w:rPr>
                <w:rFonts w:cs="Arial"/>
                <w:b/>
                <w:lang w:val="en-US"/>
              </w:rPr>
              <w:lastRenderedPageBreak/>
              <w:t>Current Risk</w:t>
            </w:r>
          </w:p>
        </w:tc>
        <w:tc>
          <w:tcPr>
            <w:tcW w:w="1134" w:type="dxa"/>
            <w:shd w:val="clear" w:color="auto" w:fill="E0E0E0"/>
            <w:vAlign w:val="bottom"/>
          </w:tcPr>
          <w:p w:rsidR="002E3EE9" w:rsidRPr="002B36CF" w:rsidRDefault="002E3EE9" w:rsidP="007703A5">
            <w:pPr>
              <w:jc w:val="right"/>
              <w:rPr>
                <w:rFonts w:cs="Arial"/>
                <w:b/>
                <w:lang w:val="en-US"/>
              </w:rPr>
            </w:pPr>
            <w:r w:rsidRPr="002B36CF">
              <w:rPr>
                <w:rFonts w:cs="Arial"/>
                <w:b/>
                <w:lang w:val="en-US"/>
              </w:rPr>
              <w:t>Q2 2013/14</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Q3</w:t>
            </w:r>
          </w:p>
          <w:p w:rsidR="002E3EE9" w:rsidRPr="002B36CF" w:rsidRDefault="002E3EE9" w:rsidP="007703A5">
            <w:pPr>
              <w:jc w:val="right"/>
              <w:rPr>
                <w:rFonts w:cs="Arial"/>
                <w:b/>
                <w:lang w:val="en-US"/>
              </w:rPr>
            </w:pPr>
            <w:r w:rsidRPr="002B36CF">
              <w:rPr>
                <w:rFonts w:cs="Arial"/>
                <w:b/>
                <w:lang w:val="en-US"/>
              </w:rPr>
              <w:t>2013/14</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Q4</w:t>
            </w:r>
          </w:p>
          <w:p w:rsidR="002E3EE9" w:rsidRPr="002B36CF" w:rsidRDefault="002E3EE9" w:rsidP="007703A5">
            <w:pPr>
              <w:jc w:val="right"/>
              <w:rPr>
                <w:rFonts w:cs="Arial"/>
                <w:b/>
                <w:lang w:val="en-US"/>
              </w:rPr>
            </w:pPr>
            <w:r w:rsidRPr="002B36CF">
              <w:rPr>
                <w:rFonts w:cs="Arial"/>
                <w:b/>
                <w:lang w:val="en-US"/>
              </w:rPr>
              <w:t>2013/14</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Q1</w:t>
            </w:r>
          </w:p>
          <w:p w:rsidR="002E3EE9" w:rsidRPr="002B36CF" w:rsidRDefault="002E3EE9" w:rsidP="007703A5">
            <w:pPr>
              <w:jc w:val="right"/>
              <w:rPr>
                <w:rFonts w:cs="Arial"/>
                <w:b/>
                <w:lang w:val="en-US"/>
              </w:rPr>
            </w:pPr>
            <w:r w:rsidRPr="002B36CF">
              <w:rPr>
                <w:rFonts w:cs="Arial"/>
                <w:b/>
                <w:lang w:val="en-US"/>
              </w:rPr>
              <w:t>2014/15</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Q2 2014/15</w:t>
            </w:r>
          </w:p>
        </w:tc>
      </w:tr>
      <w:tr w:rsidR="002E3EE9" w:rsidRPr="002B36CF" w:rsidTr="007703A5">
        <w:trPr>
          <w:trHeight w:val="240"/>
        </w:trPr>
        <w:tc>
          <w:tcPr>
            <w:tcW w:w="1809" w:type="dxa"/>
            <w:shd w:val="clear" w:color="auto" w:fill="auto"/>
            <w:noWrap/>
            <w:vAlign w:val="bottom"/>
          </w:tcPr>
          <w:p w:rsidR="002E3EE9" w:rsidRPr="002B36CF" w:rsidRDefault="002E3EE9" w:rsidP="007703A5">
            <w:pPr>
              <w:rPr>
                <w:rFonts w:cs="Arial"/>
                <w:lang w:val="en-US"/>
              </w:rPr>
            </w:pPr>
            <w:r w:rsidRPr="002B36CF">
              <w:rPr>
                <w:rFonts w:cs="Arial"/>
                <w:lang w:val="en-US"/>
              </w:rPr>
              <w:t>Red</w:t>
            </w:r>
          </w:p>
        </w:tc>
        <w:tc>
          <w:tcPr>
            <w:tcW w:w="1134" w:type="dxa"/>
          </w:tcPr>
          <w:p w:rsidR="002E3EE9" w:rsidRPr="002B36CF" w:rsidRDefault="002E3EE9" w:rsidP="007703A5">
            <w:pPr>
              <w:jc w:val="right"/>
              <w:rPr>
                <w:rFonts w:cs="Arial"/>
                <w:lang w:val="en-US"/>
              </w:rPr>
            </w:pPr>
            <w:r w:rsidRPr="002B36CF">
              <w:rPr>
                <w:rFonts w:cs="Arial"/>
                <w:lang w:val="en-US"/>
              </w:rPr>
              <w:t>3</w:t>
            </w:r>
          </w:p>
        </w:tc>
        <w:tc>
          <w:tcPr>
            <w:tcW w:w="1276" w:type="dxa"/>
          </w:tcPr>
          <w:p w:rsidR="002E3EE9" w:rsidRPr="002B36CF" w:rsidRDefault="002E3EE9" w:rsidP="007703A5">
            <w:pPr>
              <w:jc w:val="right"/>
              <w:rPr>
                <w:rFonts w:cs="Arial"/>
                <w:lang w:val="en-US"/>
              </w:rPr>
            </w:pPr>
            <w:r w:rsidRPr="002B36CF">
              <w:rPr>
                <w:rFonts w:cs="Arial"/>
                <w:lang w:val="en-US"/>
              </w:rPr>
              <w:t>0</w:t>
            </w:r>
          </w:p>
        </w:tc>
        <w:tc>
          <w:tcPr>
            <w:tcW w:w="1276" w:type="dxa"/>
          </w:tcPr>
          <w:p w:rsidR="002E3EE9" w:rsidRPr="002B36CF" w:rsidRDefault="002E3EE9" w:rsidP="007703A5">
            <w:pPr>
              <w:jc w:val="right"/>
              <w:rPr>
                <w:rFonts w:cs="Arial"/>
                <w:lang w:val="en-US"/>
              </w:rPr>
            </w:pPr>
            <w:r w:rsidRPr="002B36CF">
              <w:rPr>
                <w:rFonts w:cs="Arial"/>
                <w:lang w:val="en-US"/>
              </w:rPr>
              <w:t>0</w:t>
            </w:r>
          </w:p>
        </w:tc>
        <w:tc>
          <w:tcPr>
            <w:tcW w:w="1276" w:type="dxa"/>
          </w:tcPr>
          <w:p w:rsidR="002E3EE9" w:rsidRPr="002B36CF" w:rsidRDefault="002E3EE9" w:rsidP="007703A5">
            <w:pPr>
              <w:jc w:val="right"/>
              <w:rPr>
                <w:rFonts w:cs="Arial"/>
                <w:lang w:val="en-US"/>
              </w:rPr>
            </w:pPr>
            <w:r w:rsidRPr="002B36CF">
              <w:rPr>
                <w:rFonts w:cs="Arial"/>
                <w:lang w:val="en-US"/>
              </w:rPr>
              <w:t>0</w:t>
            </w:r>
          </w:p>
        </w:tc>
        <w:tc>
          <w:tcPr>
            <w:tcW w:w="1276" w:type="dxa"/>
          </w:tcPr>
          <w:p w:rsidR="002E3EE9" w:rsidRPr="002B36CF" w:rsidRDefault="002E3EE9" w:rsidP="007703A5">
            <w:pPr>
              <w:jc w:val="right"/>
              <w:rPr>
                <w:rFonts w:cs="Arial"/>
                <w:lang w:val="en-US"/>
              </w:rPr>
            </w:pPr>
            <w:r w:rsidRPr="002B36CF">
              <w:rPr>
                <w:rFonts w:cs="Arial"/>
                <w:lang w:val="en-US"/>
              </w:rPr>
              <w:t>0</w:t>
            </w:r>
          </w:p>
        </w:tc>
      </w:tr>
      <w:tr w:rsidR="002E3EE9" w:rsidRPr="002B36CF" w:rsidTr="007703A5">
        <w:trPr>
          <w:trHeight w:val="240"/>
        </w:trPr>
        <w:tc>
          <w:tcPr>
            <w:tcW w:w="1809" w:type="dxa"/>
            <w:shd w:val="clear" w:color="auto" w:fill="auto"/>
            <w:noWrap/>
            <w:vAlign w:val="bottom"/>
          </w:tcPr>
          <w:p w:rsidR="002E3EE9" w:rsidRPr="002B36CF" w:rsidRDefault="002E3EE9" w:rsidP="007703A5">
            <w:pPr>
              <w:rPr>
                <w:rFonts w:cs="Arial"/>
                <w:lang w:val="en-US"/>
              </w:rPr>
            </w:pPr>
            <w:r w:rsidRPr="002B36CF">
              <w:rPr>
                <w:rFonts w:cs="Arial"/>
                <w:lang w:val="en-US"/>
              </w:rPr>
              <w:t xml:space="preserve">Amber </w:t>
            </w:r>
          </w:p>
        </w:tc>
        <w:tc>
          <w:tcPr>
            <w:tcW w:w="1134" w:type="dxa"/>
          </w:tcPr>
          <w:p w:rsidR="002E3EE9" w:rsidRPr="002B36CF" w:rsidRDefault="002E3EE9" w:rsidP="007703A5">
            <w:pPr>
              <w:jc w:val="right"/>
              <w:rPr>
                <w:rFonts w:cs="Arial"/>
                <w:lang w:val="en-US"/>
              </w:rPr>
            </w:pPr>
            <w:r w:rsidRPr="002B36CF">
              <w:rPr>
                <w:rFonts w:cs="Arial"/>
                <w:lang w:val="en-US"/>
              </w:rPr>
              <w:t>8</w:t>
            </w:r>
          </w:p>
        </w:tc>
        <w:tc>
          <w:tcPr>
            <w:tcW w:w="1276" w:type="dxa"/>
          </w:tcPr>
          <w:p w:rsidR="002E3EE9" w:rsidRPr="002B36CF" w:rsidRDefault="002E3EE9" w:rsidP="007703A5">
            <w:pPr>
              <w:jc w:val="right"/>
              <w:rPr>
                <w:rFonts w:cs="Arial"/>
                <w:lang w:val="en-US"/>
              </w:rPr>
            </w:pPr>
            <w:r w:rsidRPr="002B36CF">
              <w:rPr>
                <w:rFonts w:cs="Arial"/>
                <w:lang w:val="en-US"/>
              </w:rPr>
              <w:t>9</w:t>
            </w:r>
          </w:p>
        </w:tc>
        <w:tc>
          <w:tcPr>
            <w:tcW w:w="1276" w:type="dxa"/>
          </w:tcPr>
          <w:p w:rsidR="002E3EE9" w:rsidRPr="002B36CF" w:rsidRDefault="002E3EE9" w:rsidP="007703A5">
            <w:pPr>
              <w:jc w:val="right"/>
              <w:rPr>
                <w:rFonts w:cs="Arial"/>
                <w:lang w:val="en-US"/>
              </w:rPr>
            </w:pPr>
            <w:r w:rsidRPr="002B36CF">
              <w:rPr>
                <w:rFonts w:cs="Arial"/>
                <w:lang w:val="en-US"/>
              </w:rPr>
              <w:t>5</w:t>
            </w:r>
          </w:p>
        </w:tc>
        <w:tc>
          <w:tcPr>
            <w:tcW w:w="1276" w:type="dxa"/>
          </w:tcPr>
          <w:p w:rsidR="002E3EE9" w:rsidRPr="002B36CF" w:rsidRDefault="002E3EE9" w:rsidP="007703A5">
            <w:pPr>
              <w:jc w:val="right"/>
              <w:rPr>
                <w:rFonts w:cs="Arial"/>
                <w:lang w:val="en-US"/>
              </w:rPr>
            </w:pPr>
            <w:r w:rsidRPr="002B36CF">
              <w:rPr>
                <w:rFonts w:cs="Arial"/>
                <w:lang w:val="en-US"/>
              </w:rPr>
              <w:t>5</w:t>
            </w:r>
          </w:p>
        </w:tc>
        <w:tc>
          <w:tcPr>
            <w:tcW w:w="1276" w:type="dxa"/>
          </w:tcPr>
          <w:p w:rsidR="002E3EE9" w:rsidRPr="002B36CF" w:rsidRDefault="002E3EE9" w:rsidP="007703A5">
            <w:pPr>
              <w:jc w:val="right"/>
              <w:rPr>
                <w:rFonts w:cs="Arial"/>
                <w:lang w:val="en-US"/>
              </w:rPr>
            </w:pPr>
            <w:r w:rsidRPr="002B36CF">
              <w:rPr>
                <w:rFonts w:cs="Arial"/>
                <w:lang w:val="en-US"/>
              </w:rPr>
              <w:t>5</w:t>
            </w:r>
          </w:p>
        </w:tc>
      </w:tr>
      <w:tr w:rsidR="002E3EE9" w:rsidRPr="002B36CF" w:rsidTr="007703A5">
        <w:trPr>
          <w:trHeight w:val="240"/>
        </w:trPr>
        <w:tc>
          <w:tcPr>
            <w:tcW w:w="1809" w:type="dxa"/>
            <w:shd w:val="clear" w:color="auto" w:fill="auto"/>
            <w:noWrap/>
            <w:vAlign w:val="bottom"/>
          </w:tcPr>
          <w:p w:rsidR="002E3EE9" w:rsidRPr="002B36CF" w:rsidRDefault="002E3EE9" w:rsidP="007703A5">
            <w:pPr>
              <w:rPr>
                <w:rFonts w:cs="Arial"/>
                <w:lang w:val="en-US"/>
              </w:rPr>
            </w:pPr>
            <w:r w:rsidRPr="002B36CF">
              <w:rPr>
                <w:rFonts w:cs="Arial"/>
                <w:lang w:val="en-US"/>
              </w:rPr>
              <w:t>Green</w:t>
            </w:r>
          </w:p>
        </w:tc>
        <w:tc>
          <w:tcPr>
            <w:tcW w:w="1134" w:type="dxa"/>
          </w:tcPr>
          <w:p w:rsidR="002E3EE9" w:rsidRPr="002B36CF" w:rsidRDefault="002E3EE9" w:rsidP="007703A5">
            <w:pPr>
              <w:jc w:val="right"/>
              <w:rPr>
                <w:rFonts w:cs="Arial"/>
                <w:lang w:val="en-US"/>
              </w:rPr>
            </w:pPr>
            <w:r w:rsidRPr="002B36CF">
              <w:rPr>
                <w:rFonts w:cs="Arial"/>
                <w:lang w:val="en-US"/>
              </w:rPr>
              <w:t>0</w:t>
            </w:r>
          </w:p>
        </w:tc>
        <w:tc>
          <w:tcPr>
            <w:tcW w:w="1276" w:type="dxa"/>
          </w:tcPr>
          <w:p w:rsidR="002E3EE9" w:rsidRPr="002B36CF" w:rsidRDefault="002E3EE9" w:rsidP="007703A5">
            <w:pPr>
              <w:jc w:val="right"/>
              <w:rPr>
                <w:rFonts w:cs="Arial"/>
                <w:lang w:val="en-US"/>
              </w:rPr>
            </w:pPr>
            <w:r w:rsidRPr="002B36CF">
              <w:rPr>
                <w:rFonts w:cs="Arial"/>
                <w:lang w:val="en-US"/>
              </w:rPr>
              <w:t>2</w:t>
            </w:r>
          </w:p>
        </w:tc>
        <w:tc>
          <w:tcPr>
            <w:tcW w:w="1276" w:type="dxa"/>
          </w:tcPr>
          <w:p w:rsidR="002E3EE9" w:rsidRPr="002B36CF" w:rsidRDefault="002E3EE9" w:rsidP="007703A5">
            <w:pPr>
              <w:jc w:val="right"/>
              <w:rPr>
                <w:rFonts w:cs="Arial"/>
                <w:lang w:val="en-US"/>
              </w:rPr>
            </w:pPr>
            <w:r w:rsidRPr="002B36CF">
              <w:rPr>
                <w:rFonts w:cs="Arial"/>
                <w:lang w:val="en-US"/>
              </w:rPr>
              <w:t>6</w:t>
            </w:r>
          </w:p>
        </w:tc>
        <w:tc>
          <w:tcPr>
            <w:tcW w:w="1276" w:type="dxa"/>
          </w:tcPr>
          <w:p w:rsidR="002E3EE9" w:rsidRPr="002B36CF" w:rsidRDefault="002E3EE9" w:rsidP="007703A5">
            <w:pPr>
              <w:jc w:val="right"/>
              <w:rPr>
                <w:rFonts w:cs="Arial"/>
                <w:lang w:val="en-US"/>
              </w:rPr>
            </w:pPr>
            <w:r w:rsidRPr="002B36CF">
              <w:rPr>
                <w:rFonts w:cs="Arial"/>
                <w:lang w:val="en-US"/>
              </w:rPr>
              <w:t>6</w:t>
            </w:r>
          </w:p>
        </w:tc>
        <w:tc>
          <w:tcPr>
            <w:tcW w:w="1276" w:type="dxa"/>
          </w:tcPr>
          <w:p w:rsidR="002E3EE9" w:rsidRPr="002B36CF" w:rsidRDefault="002E3EE9" w:rsidP="007703A5">
            <w:pPr>
              <w:jc w:val="right"/>
              <w:rPr>
                <w:rFonts w:cs="Arial"/>
                <w:lang w:val="en-US"/>
              </w:rPr>
            </w:pPr>
            <w:r w:rsidRPr="002B36CF">
              <w:rPr>
                <w:rFonts w:cs="Arial"/>
                <w:lang w:val="en-US"/>
              </w:rPr>
              <w:t>6</w:t>
            </w:r>
          </w:p>
        </w:tc>
      </w:tr>
      <w:tr w:rsidR="002E3EE9" w:rsidRPr="002B36CF" w:rsidTr="007703A5">
        <w:trPr>
          <w:trHeight w:val="187"/>
        </w:trPr>
        <w:tc>
          <w:tcPr>
            <w:tcW w:w="1809" w:type="dxa"/>
            <w:tcBorders>
              <w:bottom w:val="single" w:sz="8" w:space="0" w:color="000000"/>
            </w:tcBorders>
            <w:shd w:val="clear" w:color="auto" w:fill="auto"/>
            <w:noWrap/>
            <w:vAlign w:val="bottom"/>
          </w:tcPr>
          <w:p w:rsidR="002E3EE9" w:rsidRPr="002B36CF" w:rsidRDefault="002E3EE9" w:rsidP="007703A5">
            <w:pPr>
              <w:rPr>
                <w:rFonts w:cs="Arial"/>
                <w:lang w:val="en-US"/>
              </w:rPr>
            </w:pPr>
          </w:p>
        </w:tc>
        <w:tc>
          <w:tcPr>
            <w:tcW w:w="1134" w:type="dxa"/>
            <w:tcBorders>
              <w:bottom w:val="single" w:sz="8" w:space="0" w:color="000000"/>
            </w:tcBorders>
          </w:tcPr>
          <w:p w:rsidR="002E3EE9" w:rsidRPr="002B36CF" w:rsidRDefault="002E3EE9" w:rsidP="007703A5">
            <w:pPr>
              <w:jc w:val="right"/>
              <w:rPr>
                <w:rFonts w:cs="Arial"/>
                <w:lang w:val="en-US"/>
              </w:rPr>
            </w:pPr>
          </w:p>
        </w:tc>
        <w:tc>
          <w:tcPr>
            <w:tcW w:w="1276" w:type="dxa"/>
            <w:tcBorders>
              <w:bottom w:val="single" w:sz="8" w:space="0" w:color="000000"/>
            </w:tcBorders>
          </w:tcPr>
          <w:p w:rsidR="002E3EE9" w:rsidRPr="002B36CF" w:rsidRDefault="002E3EE9" w:rsidP="007703A5">
            <w:pPr>
              <w:jc w:val="right"/>
              <w:rPr>
                <w:rFonts w:cs="Arial"/>
                <w:lang w:val="en-US"/>
              </w:rPr>
            </w:pPr>
          </w:p>
        </w:tc>
        <w:tc>
          <w:tcPr>
            <w:tcW w:w="1276" w:type="dxa"/>
            <w:tcBorders>
              <w:bottom w:val="single" w:sz="8" w:space="0" w:color="000000"/>
            </w:tcBorders>
          </w:tcPr>
          <w:p w:rsidR="002E3EE9" w:rsidRPr="002B36CF" w:rsidRDefault="002E3EE9" w:rsidP="007703A5">
            <w:pPr>
              <w:jc w:val="right"/>
              <w:rPr>
                <w:rFonts w:cs="Arial"/>
                <w:lang w:val="en-US"/>
              </w:rPr>
            </w:pPr>
          </w:p>
        </w:tc>
        <w:tc>
          <w:tcPr>
            <w:tcW w:w="1276" w:type="dxa"/>
            <w:tcBorders>
              <w:bottom w:val="single" w:sz="8" w:space="0" w:color="000000"/>
            </w:tcBorders>
          </w:tcPr>
          <w:p w:rsidR="002E3EE9" w:rsidRPr="002B36CF" w:rsidRDefault="002E3EE9" w:rsidP="007703A5">
            <w:pPr>
              <w:jc w:val="right"/>
              <w:rPr>
                <w:rFonts w:cs="Arial"/>
                <w:lang w:val="en-US"/>
              </w:rPr>
            </w:pPr>
          </w:p>
        </w:tc>
        <w:tc>
          <w:tcPr>
            <w:tcW w:w="1276" w:type="dxa"/>
            <w:tcBorders>
              <w:bottom w:val="single" w:sz="8" w:space="0" w:color="000000"/>
            </w:tcBorders>
          </w:tcPr>
          <w:p w:rsidR="002E3EE9" w:rsidRPr="002B36CF" w:rsidRDefault="002E3EE9" w:rsidP="007703A5">
            <w:pPr>
              <w:jc w:val="right"/>
              <w:rPr>
                <w:rFonts w:cs="Arial"/>
                <w:lang w:val="en-US"/>
              </w:rPr>
            </w:pPr>
          </w:p>
        </w:tc>
      </w:tr>
      <w:tr w:rsidR="002E3EE9" w:rsidRPr="002B36CF" w:rsidTr="007703A5">
        <w:trPr>
          <w:trHeight w:val="240"/>
        </w:trPr>
        <w:tc>
          <w:tcPr>
            <w:tcW w:w="1809" w:type="dxa"/>
            <w:shd w:val="clear" w:color="auto" w:fill="E0E0E0"/>
            <w:noWrap/>
            <w:vAlign w:val="bottom"/>
          </w:tcPr>
          <w:p w:rsidR="002E3EE9" w:rsidRPr="002B36CF" w:rsidRDefault="002E3EE9" w:rsidP="007703A5">
            <w:pPr>
              <w:rPr>
                <w:rFonts w:cs="Arial"/>
                <w:b/>
                <w:lang w:val="en-US"/>
              </w:rPr>
            </w:pPr>
            <w:r w:rsidRPr="002B36CF">
              <w:rPr>
                <w:rFonts w:cs="Arial"/>
                <w:b/>
                <w:lang w:val="en-US"/>
              </w:rPr>
              <w:t>Total risks</w:t>
            </w:r>
          </w:p>
        </w:tc>
        <w:tc>
          <w:tcPr>
            <w:tcW w:w="1134" w:type="dxa"/>
            <w:shd w:val="clear" w:color="auto" w:fill="E0E0E0"/>
          </w:tcPr>
          <w:p w:rsidR="002E3EE9" w:rsidRPr="002B36CF" w:rsidRDefault="002E3EE9" w:rsidP="007703A5">
            <w:pPr>
              <w:jc w:val="right"/>
              <w:rPr>
                <w:rFonts w:cs="Arial"/>
                <w:b/>
                <w:lang w:val="en-US"/>
              </w:rPr>
            </w:pPr>
            <w:r w:rsidRPr="002B36CF">
              <w:rPr>
                <w:rFonts w:cs="Arial"/>
                <w:b/>
                <w:lang w:val="en-US"/>
              </w:rPr>
              <w:t>11</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11</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11</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11</w:t>
            </w:r>
          </w:p>
        </w:tc>
        <w:tc>
          <w:tcPr>
            <w:tcW w:w="1276" w:type="dxa"/>
            <w:shd w:val="clear" w:color="auto" w:fill="E0E0E0"/>
          </w:tcPr>
          <w:p w:rsidR="002E3EE9" w:rsidRPr="002B36CF" w:rsidRDefault="002E3EE9" w:rsidP="007703A5">
            <w:pPr>
              <w:jc w:val="right"/>
              <w:rPr>
                <w:rFonts w:cs="Arial"/>
                <w:b/>
                <w:lang w:val="en-US"/>
              </w:rPr>
            </w:pPr>
            <w:r w:rsidRPr="002B36CF">
              <w:rPr>
                <w:rFonts w:cs="Arial"/>
                <w:b/>
                <w:lang w:val="en-US"/>
              </w:rPr>
              <w:t>11</w:t>
            </w:r>
          </w:p>
        </w:tc>
      </w:tr>
    </w:tbl>
    <w:p w:rsidR="002E3EE9" w:rsidRPr="002B36CF" w:rsidRDefault="002E3EE9" w:rsidP="002E3EE9">
      <w:pPr>
        <w:ind w:left="360"/>
        <w:rPr>
          <w:rFonts w:cs="Arial"/>
        </w:rPr>
      </w:pPr>
    </w:p>
    <w:p w:rsidR="002E3EE9" w:rsidRPr="006B1F07" w:rsidRDefault="002E3EE9" w:rsidP="002E3EE9">
      <w:pPr>
        <w:jc w:val="both"/>
        <w:rPr>
          <w:rFonts w:cs="Arial"/>
          <w:b/>
          <w:highlight w:val="yellow"/>
        </w:rPr>
      </w:pPr>
    </w:p>
    <w:p w:rsidR="002E3EE9" w:rsidRPr="006E4537" w:rsidRDefault="002E3EE9" w:rsidP="002E3EE9">
      <w:pPr>
        <w:rPr>
          <w:rFonts w:cs="Arial"/>
          <w:b/>
        </w:rPr>
      </w:pPr>
      <w:r w:rsidRPr="006E4537">
        <w:rPr>
          <w:rFonts w:cs="Arial"/>
          <w:b/>
        </w:rPr>
        <w:t>Quarter 2 Service Risk Register</w:t>
      </w:r>
    </w:p>
    <w:p w:rsidR="002E3EE9" w:rsidRPr="006E4537" w:rsidRDefault="002E3EE9" w:rsidP="002E3EE9">
      <w:pPr>
        <w:rPr>
          <w:rFonts w:cs="Arial"/>
          <w:b/>
        </w:rPr>
      </w:pPr>
    </w:p>
    <w:p w:rsidR="002E3EE9" w:rsidRPr="006E4537" w:rsidRDefault="002E3EE9" w:rsidP="002E3EE9">
      <w:pPr>
        <w:numPr>
          <w:ilvl w:val="0"/>
          <w:numId w:val="2"/>
        </w:numPr>
        <w:jc w:val="both"/>
        <w:rPr>
          <w:rFonts w:cs="Arial"/>
        </w:rPr>
      </w:pPr>
      <w:r w:rsidRPr="006E4537">
        <w:rPr>
          <w:rFonts w:cs="Arial"/>
        </w:rPr>
        <w:t xml:space="preserve">Each year as part of the service planning process, all current service risks are reviewed, those no longer relevant are deleted, and any new ones are added.  These refreshed service risk registers are then loaded into </w:t>
      </w:r>
      <w:proofErr w:type="spellStart"/>
      <w:r w:rsidRPr="006E4537">
        <w:rPr>
          <w:rFonts w:cs="Arial"/>
        </w:rPr>
        <w:t>CorVu</w:t>
      </w:r>
      <w:proofErr w:type="spellEnd"/>
      <w:r w:rsidRPr="006E4537">
        <w:rPr>
          <w:rFonts w:cs="Arial"/>
        </w:rPr>
        <w:t xml:space="preserve"> for</w:t>
      </w:r>
      <w:r w:rsidR="00980D7A">
        <w:rPr>
          <w:rFonts w:cs="Arial"/>
        </w:rPr>
        <w:t xml:space="preserve"> review and </w:t>
      </w:r>
      <w:r w:rsidRPr="006E4537">
        <w:rPr>
          <w:rFonts w:cs="Arial"/>
        </w:rPr>
        <w:t xml:space="preserve">monitoring purposes during the year.  </w:t>
      </w:r>
    </w:p>
    <w:p w:rsidR="002E3EE9" w:rsidRPr="006B1F07" w:rsidRDefault="002E3EE9" w:rsidP="002E3EE9">
      <w:pPr>
        <w:ind w:left="720"/>
        <w:jc w:val="both"/>
        <w:rPr>
          <w:rFonts w:cs="Arial"/>
          <w:highlight w:val="yellow"/>
        </w:rPr>
      </w:pPr>
    </w:p>
    <w:p w:rsidR="002E3EE9" w:rsidRPr="006E4537" w:rsidRDefault="002E3EE9" w:rsidP="002E3EE9">
      <w:pPr>
        <w:numPr>
          <w:ilvl w:val="0"/>
          <w:numId w:val="2"/>
        </w:numPr>
        <w:tabs>
          <w:tab w:val="num" w:pos="426"/>
        </w:tabs>
        <w:jc w:val="both"/>
        <w:rPr>
          <w:rFonts w:cs="Arial"/>
        </w:rPr>
      </w:pPr>
      <w:r w:rsidRPr="006E4537">
        <w:rPr>
          <w:rFonts w:cs="Arial"/>
        </w:rPr>
        <w:t>This exercise has been completed for 2014/15. The table below shows the number of current risks for Q2 2014/15 compared with</w:t>
      </w:r>
      <w:r>
        <w:rPr>
          <w:rFonts w:cs="Arial"/>
        </w:rPr>
        <w:t xml:space="preserve"> Q1 2014/15 and</w:t>
      </w:r>
      <w:r w:rsidRPr="006E4537">
        <w:rPr>
          <w:rFonts w:cs="Arial"/>
        </w:rPr>
        <w:t xml:space="preserve"> 2013/14.</w:t>
      </w:r>
    </w:p>
    <w:p w:rsidR="002E3EE9" w:rsidRPr="006E4537" w:rsidRDefault="002E3EE9" w:rsidP="002E3EE9">
      <w:pPr>
        <w:rPr>
          <w:rFonts w:cs="Arial"/>
        </w:rPr>
      </w:pPr>
    </w:p>
    <w:p w:rsidR="002E3EE9" w:rsidRPr="006B1F07" w:rsidRDefault="002E3EE9" w:rsidP="002E3EE9">
      <w:pPr>
        <w:rPr>
          <w:rFonts w:cs="Arial"/>
          <w:color w:val="FF0000"/>
          <w:highlight w:val="yellow"/>
        </w:rPr>
      </w:pPr>
    </w:p>
    <w:tbl>
      <w:tblPr>
        <w:tblW w:w="73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778"/>
        <w:gridCol w:w="1084"/>
        <w:gridCol w:w="1084"/>
        <w:gridCol w:w="1084"/>
        <w:gridCol w:w="1163"/>
        <w:gridCol w:w="1137"/>
      </w:tblGrid>
      <w:tr w:rsidR="002E3EE9" w:rsidRPr="00D8666A" w:rsidTr="007703A5">
        <w:trPr>
          <w:trHeight w:val="240"/>
        </w:trPr>
        <w:tc>
          <w:tcPr>
            <w:tcW w:w="1778" w:type="dxa"/>
            <w:shd w:val="clear" w:color="auto" w:fill="auto"/>
            <w:noWrap/>
            <w:vAlign w:val="bottom"/>
          </w:tcPr>
          <w:p w:rsidR="002E3EE9" w:rsidRPr="00D8666A" w:rsidRDefault="002E3EE9" w:rsidP="007703A5">
            <w:pPr>
              <w:rPr>
                <w:rFonts w:cs="Arial"/>
                <w:b/>
                <w:lang w:val="en-US"/>
              </w:rPr>
            </w:pPr>
            <w:r w:rsidRPr="00D8666A">
              <w:rPr>
                <w:rFonts w:cs="Arial"/>
                <w:b/>
                <w:lang w:val="en-US"/>
              </w:rPr>
              <w:t>Current Risk</w:t>
            </w:r>
          </w:p>
        </w:tc>
        <w:tc>
          <w:tcPr>
            <w:tcW w:w="1084" w:type="dxa"/>
            <w:shd w:val="clear" w:color="auto" w:fill="E0E0E0"/>
            <w:vAlign w:val="bottom"/>
          </w:tcPr>
          <w:p w:rsidR="002E3EE9" w:rsidRPr="00D8666A" w:rsidRDefault="002E3EE9" w:rsidP="007703A5">
            <w:pPr>
              <w:jc w:val="right"/>
              <w:rPr>
                <w:rFonts w:cs="Arial"/>
                <w:b/>
                <w:lang w:val="en-US"/>
              </w:rPr>
            </w:pPr>
            <w:r w:rsidRPr="00D8666A">
              <w:rPr>
                <w:rFonts w:cs="Arial"/>
                <w:b/>
                <w:lang w:val="en-US"/>
              </w:rPr>
              <w:t>Q2 2013/14</w:t>
            </w:r>
          </w:p>
        </w:tc>
        <w:tc>
          <w:tcPr>
            <w:tcW w:w="1084" w:type="dxa"/>
            <w:shd w:val="clear" w:color="auto" w:fill="E0E0E0"/>
          </w:tcPr>
          <w:p w:rsidR="002E3EE9" w:rsidRPr="00D8666A" w:rsidRDefault="002E3EE9" w:rsidP="007703A5">
            <w:pPr>
              <w:jc w:val="right"/>
              <w:rPr>
                <w:rFonts w:cs="Arial"/>
                <w:b/>
                <w:lang w:val="en-US"/>
              </w:rPr>
            </w:pPr>
            <w:r w:rsidRPr="00D8666A">
              <w:rPr>
                <w:rFonts w:cs="Arial"/>
                <w:b/>
                <w:lang w:val="en-US"/>
              </w:rPr>
              <w:t>Q3</w:t>
            </w:r>
          </w:p>
          <w:p w:rsidR="002E3EE9" w:rsidRPr="00D8666A" w:rsidRDefault="002E3EE9" w:rsidP="007703A5">
            <w:pPr>
              <w:jc w:val="right"/>
              <w:rPr>
                <w:rFonts w:cs="Arial"/>
                <w:b/>
                <w:lang w:val="en-US"/>
              </w:rPr>
            </w:pPr>
            <w:r w:rsidRPr="00D8666A">
              <w:rPr>
                <w:rFonts w:cs="Arial"/>
                <w:b/>
                <w:lang w:val="en-US"/>
              </w:rPr>
              <w:t>2013/14</w:t>
            </w:r>
          </w:p>
        </w:tc>
        <w:tc>
          <w:tcPr>
            <w:tcW w:w="1084" w:type="dxa"/>
            <w:shd w:val="clear" w:color="auto" w:fill="E0E0E0"/>
          </w:tcPr>
          <w:p w:rsidR="002E3EE9" w:rsidRPr="00D8666A" w:rsidRDefault="002E3EE9" w:rsidP="007703A5">
            <w:pPr>
              <w:jc w:val="right"/>
              <w:rPr>
                <w:rFonts w:cs="Arial"/>
                <w:b/>
                <w:lang w:val="en-US"/>
              </w:rPr>
            </w:pPr>
            <w:r w:rsidRPr="00D8666A">
              <w:rPr>
                <w:rFonts w:cs="Arial"/>
                <w:b/>
                <w:lang w:val="en-US"/>
              </w:rPr>
              <w:t>Q4</w:t>
            </w:r>
          </w:p>
          <w:p w:rsidR="002E3EE9" w:rsidRPr="00D8666A" w:rsidRDefault="002E3EE9" w:rsidP="007703A5">
            <w:pPr>
              <w:jc w:val="right"/>
              <w:rPr>
                <w:rFonts w:cs="Arial"/>
                <w:b/>
                <w:lang w:val="en-US"/>
              </w:rPr>
            </w:pPr>
            <w:r w:rsidRPr="00D8666A">
              <w:rPr>
                <w:rFonts w:cs="Arial"/>
                <w:b/>
                <w:lang w:val="en-US"/>
              </w:rPr>
              <w:t>2013/14</w:t>
            </w:r>
          </w:p>
        </w:tc>
        <w:tc>
          <w:tcPr>
            <w:tcW w:w="1163" w:type="dxa"/>
            <w:shd w:val="clear" w:color="auto" w:fill="E0E0E0"/>
          </w:tcPr>
          <w:p w:rsidR="002E3EE9" w:rsidRPr="00D8666A" w:rsidRDefault="002E3EE9" w:rsidP="007703A5">
            <w:pPr>
              <w:jc w:val="right"/>
              <w:rPr>
                <w:rFonts w:cs="Arial"/>
                <w:b/>
                <w:lang w:val="en-US"/>
              </w:rPr>
            </w:pPr>
            <w:r w:rsidRPr="00D8666A">
              <w:rPr>
                <w:rFonts w:cs="Arial"/>
                <w:b/>
                <w:lang w:val="en-US"/>
              </w:rPr>
              <w:t>Q1</w:t>
            </w:r>
          </w:p>
          <w:p w:rsidR="002E3EE9" w:rsidRPr="00D8666A" w:rsidRDefault="002E3EE9" w:rsidP="007703A5">
            <w:pPr>
              <w:jc w:val="right"/>
              <w:rPr>
                <w:rFonts w:cs="Arial"/>
                <w:b/>
                <w:lang w:val="en-US"/>
              </w:rPr>
            </w:pPr>
            <w:r w:rsidRPr="00D8666A">
              <w:rPr>
                <w:rFonts w:cs="Arial"/>
                <w:b/>
                <w:lang w:val="en-US"/>
              </w:rPr>
              <w:t xml:space="preserve"> 2014/15</w:t>
            </w:r>
          </w:p>
        </w:tc>
        <w:tc>
          <w:tcPr>
            <w:tcW w:w="1137" w:type="dxa"/>
            <w:shd w:val="clear" w:color="auto" w:fill="E0E0E0"/>
          </w:tcPr>
          <w:p w:rsidR="002E3EE9" w:rsidRPr="00D8666A" w:rsidRDefault="002E3EE9" w:rsidP="007703A5">
            <w:pPr>
              <w:jc w:val="right"/>
              <w:rPr>
                <w:rFonts w:cs="Arial"/>
                <w:b/>
                <w:lang w:val="en-US"/>
              </w:rPr>
            </w:pPr>
            <w:r w:rsidRPr="00D8666A">
              <w:rPr>
                <w:rFonts w:cs="Arial"/>
                <w:b/>
                <w:lang w:val="en-US"/>
              </w:rPr>
              <w:t>Q2 2014/15</w:t>
            </w:r>
          </w:p>
        </w:tc>
      </w:tr>
      <w:tr w:rsidR="002E3EE9" w:rsidRPr="00D8666A" w:rsidTr="007703A5">
        <w:trPr>
          <w:trHeight w:val="240"/>
        </w:trPr>
        <w:tc>
          <w:tcPr>
            <w:tcW w:w="1778" w:type="dxa"/>
            <w:shd w:val="clear" w:color="auto" w:fill="auto"/>
            <w:noWrap/>
            <w:vAlign w:val="bottom"/>
          </w:tcPr>
          <w:p w:rsidR="002E3EE9" w:rsidRPr="00D8666A" w:rsidRDefault="002E3EE9" w:rsidP="007703A5">
            <w:pPr>
              <w:rPr>
                <w:rFonts w:cs="Arial"/>
                <w:lang w:val="en-US"/>
              </w:rPr>
            </w:pPr>
            <w:r w:rsidRPr="00D8666A">
              <w:rPr>
                <w:rFonts w:cs="Arial"/>
                <w:lang w:val="en-US"/>
              </w:rPr>
              <w:t>Red</w:t>
            </w:r>
          </w:p>
        </w:tc>
        <w:tc>
          <w:tcPr>
            <w:tcW w:w="1084" w:type="dxa"/>
            <w:vAlign w:val="bottom"/>
          </w:tcPr>
          <w:p w:rsidR="002E3EE9" w:rsidRPr="00D8666A" w:rsidRDefault="002E3EE9" w:rsidP="007703A5">
            <w:pPr>
              <w:jc w:val="right"/>
              <w:rPr>
                <w:rFonts w:cs="Arial"/>
                <w:lang w:val="en-US"/>
              </w:rPr>
            </w:pPr>
            <w:r w:rsidRPr="00D8666A">
              <w:rPr>
                <w:rFonts w:cs="Arial"/>
                <w:lang w:val="en-US"/>
              </w:rPr>
              <w:t>0</w:t>
            </w:r>
          </w:p>
        </w:tc>
        <w:tc>
          <w:tcPr>
            <w:tcW w:w="1084" w:type="dxa"/>
          </w:tcPr>
          <w:p w:rsidR="002E3EE9" w:rsidRPr="00D8666A" w:rsidRDefault="002E3EE9" w:rsidP="007703A5">
            <w:pPr>
              <w:jc w:val="right"/>
              <w:rPr>
                <w:rFonts w:cs="Arial"/>
                <w:lang w:val="en-US"/>
              </w:rPr>
            </w:pPr>
            <w:r w:rsidRPr="00D8666A">
              <w:rPr>
                <w:rFonts w:cs="Arial"/>
                <w:lang w:val="en-US"/>
              </w:rPr>
              <w:t>2</w:t>
            </w:r>
          </w:p>
        </w:tc>
        <w:tc>
          <w:tcPr>
            <w:tcW w:w="1084" w:type="dxa"/>
          </w:tcPr>
          <w:p w:rsidR="002E3EE9" w:rsidRPr="00D8666A" w:rsidRDefault="002E3EE9" w:rsidP="007703A5">
            <w:pPr>
              <w:jc w:val="right"/>
              <w:rPr>
                <w:rFonts w:cs="Arial"/>
                <w:lang w:val="en-US"/>
              </w:rPr>
            </w:pPr>
            <w:r w:rsidRPr="00D8666A">
              <w:rPr>
                <w:rFonts w:cs="Arial"/>
                <w:lang w:val="en-US"/>
              </w:rPr>
              <w:t>0</w:t>
            </w:r>
          </w:p>
        </w:tc>
        <w:tc>
          <w:tcPr>
            <w:tcW w:w="1163" w:type="dxa"/>
          </w:tcPr>
          <w:p w:rsidR="002E3EE9" w:rsidRPr="00D8666A" w:rsidRDefault="002E3EE9" w:rsidP="007703A5">
            <w:pPr>
              <w:jc w:val="right"/>
              <w:rPr>
                <w:rFonts w:cs="Arial"/>
                <w:lang w:val="en-US"/>
              </w:rPr>
            </w:pPr>
            <w:r w:rsidRPr="00D8666A">
              <w:rPr>
                <w:rFonts w:cs="Arial"/>
                <w:lang w:val="en-US"/>
              </w:rPr>
              <w:t>3</w:t>
            </w:r>
          </w:p>
        </w:tc>
        <w:tc>
          <w:tcPr>
            <w:tcW w:w="1137" w:type="dxa"/>
          </w:tcPr>
          <w:p w:rsidR="002E3EE9" w:rsidRPr="00D8666A" w:rsidRDefault="00140C20" w:rsidP="007703A5">
            <w:pPr>
              <w:jc w:val="right"/>
              <w:rPr>
                <w:rFonts w:cs="Arial"/>
                <w:lang w:val="en-US"/>
              </w:rPr>
            </w:pPr>
            <w:r>
              <w:rPr>
                <w:rFonts w:cs="Arial"/>
                <w:lang w:val="en-US"/>
              </w:rPr>
              <w:t>0</w:t>
            </w:r>
          </w:p>
        </w:tc>
      </w:tr>
      <w:tr w:rsidR="002E3EE9" w:rsidRPr="00D8666A" w:rsidTr="007703A5">
        <w:trPr>
          <w:trHeight w:val="240"/>
        </w:trPr>
        <w:tc>
          <w:tcPr>
            <w:tcW w:w="1778" w:type="dxa"/>
            <w:shd w:val="clear" w:color="auto" w:fill="auto"/>
            <w:noWrap/>
            <w:vAlign w:val="bottom"/>
          </w:tcPr>
          <w:p w:rsidR="002E3EE9" w:rsidRPr="00D8666A" w:rsidRDefault="002E3EE9" w:rsidP="007703A5">
            <w:pPr>
              <w:rPr>
                <w:rFonts w:cs="Arial"/>
                <w:lang w:val="en-US"/>
              </w:rPr>
            </w:pPr>
            <w:r w:rsidRPr="00D8666A">
              <w:rPr>
                <w:rFonts w:cs="Arial"/>
                <w:lang w:val="en-US"/>
              </w:rPr>
              <w:t xml:space="preserve">Amber </w:t>
            </w:r>
          </w:p>
        </w:tc>
        <w:tc>
          <w:tcPr>
            <w:tcW w:w="1084" w:type="dxa"/>
            <w:vAlign w:val="bottom"/>
          </w:tcPr>
          <w:p w:rsidR="002E3EE9" w:rsidRPr="00D8666A" w:rsidRDefault="002E3EE9" w:rsidP="007703A5">
            <w:pPr>
              <w:jc w:val="right"/>
              <w:rPr>
                <w:rFonts w:cs="Arial"/>
                <w:lang w:val="en-US"/>
              </w:rPr>
            </w:pPr>
            <w:r w:rsidRPr="00D8666A">
              <w:rPr>
                <w:rFonts w:cs="Arial"/>
                <w:lang w:val="en-US"/>
              </w:rPr>
              <w:t>56</w:t>
            </w:r>
          </w:p>
        </w:tc>
        <w:tc>
          <w:tcPr>
            <w:tcW w:w="1084" w:type="dxa"/>
          </w:tcPr>
          <w:p w:rsidR="002E3EE9" w:rsidRPr="00D8666A" w:rsidRDefault="002E3EE9" w:rsidP="007703A5">
            <w:pPr>
              <w:jc w:val="right"/>
              <w:rPr>
                <w:rFonts w:cs="Arial"/>
                <w:lang w:val="en-US"/>
              </w:rPr>
            </w:pPr>
            <w:r w:rsidRPr="00D8666A">
              <w:rPr>
                <w:rFonts w:cs="Arial"/>
                <w:lang w:val="en-US"/>
              </w:rPr>
              <w:t>48</w:t>
            </w:r>
          </w:p>
        </w:tc>
        <w:tc>
          <w:tcPr>
            <w:tcW w:w="1084" w:type="dxa"/>
          </w:tcPr>
          <w:p w:rsidR="002E3EE9" w:rsidRPr="00D8666A" w:rsidRDefault="002E3EE9" w:rsidP="007703A5">
            <w:pPr>
              <w:jc w:val="right"/>
              <w:rPr>
                <w:rFonts w:cs="Arial"/>
                <w:lang w:val="en-US"/>
              </w:rPr>
            </w:pPr>
            <w:r w:rsidRPr="00D8666A">
              <w:rPr>
                <w:rFonts w:cs="Arial"/>
                <w:lang w:val="en-US"/>
              </w:rPr>
              <w:t>38</w:t>
            </w:r>
          </w:p>
        </w:tc>
        <w:tc>
          <w:tcPr>
            <w:tcW w:w="1163" w:type="dxa"/>
          </w:tcPr>
          <w:p w:rsidR="002E3EE9" w:rsidRPr="00D8666A" w:rsidRDefault="002E3EE9" w:rsidP="007703A5">
            <w:pPr>
              <w:jc w:val="right"/>
              <w:rPr>
                <w:rFonts w:cs="Arial"/>
                <w:lang w:val="en-US"/>
              </w:rPr>
            </w:pPr>
            <w:r>
              <w:rPr>
                <w:rFonts w:cs="Arial"/>
                <w:lang w:val="en-US"/>
              </w:rPr>
              <w:t>36</w:t>
            </w:r>
          </w:p>
        </w:tc>
        <w:tc>
          <w:tcPr>
            <w:tcW w:w="1137" w:type="dxa"/>
          </w:tcPr>
          <w:p w:rsidR="002E3EE9" w:rsidRPr="00D8666A" w:rsidRDefault="002E3EE9" w:rsidP="00140C20">
            <w:pPr>
              <w:jc w:val="right"/>
              <w:rPr>
                <w:rFonts w:cs="Arial"/>
                <w:lang w:val="en-US"/>
              </w:rPr>
            </w:pPr>
            <w:r>
              <w:rPr>
                <w:rFonts w:cs="Arial"/>
                <w:lang w:val="en-US"/>
              </w:rPr>
              <w:t>4</w:t>
            </w:r>
            <w:r w:rsidR="00140C20">
              <w:rPr>
                <w:rFonts w:cs="Arial"/>
                <w:lang w:val="en-US"/>
              </w:rPr>
              <w:t>1</w:t>
            </w:r>
          </w:p>
        </w:tc>
      </w:tr>
      <w:tr w:rsidR="002E3EE9" w:rsidRPr="00D8666A" w:rsidTr="007703A5">
        <w:trPr>
          <w:trHeight w:val="240"/>
        </w:trPr>
        <w:tc>
          <w:tcPr>
            <w:tcW w:w="1778" w:type="dxa"/>
            <w:shd w:val="clear" w:color="auto" w:fill="auto"/>
            <w:noWrap/>
            <w:vAlign w:val="bottom"/>
          </w:tcPr>
          <w:p w:rsidR="002E3EE9" w:rsidRPr="00D8666A" w:rsidRDefault="002E3EE9" w:rsidP="007703A5">
            <w:pPr>
              <w:rPr>
                <w:rFonts w:cs="Arial"/>
                <w:lang w:val="en-US"/>
              </w:rPr>
            </w:pPr>
            <w:r w:rsidRPr="00D8666A">
              <w:rPr>
                <w:rFonts w:cs="Arial"/>
                <w:lang w:val="en-US"/>
              </w:rPr>
              <w:t>Green</w:t>
            </w:r>
          </w:p>
        </w:tc>
        <w:tc>
          <w:tcPr>
            <w:tcW w:w="1084" w:type="dxa"/>
            <w:vAlign w:val="bottom"/>
          </w:tcPr>
          <w:p w:rsidR="002E3EE9" w:rsidRPr="00D8666A" w:rsidRDefault="002E3EE9" w:rsidP="007703A5">
            <w:pPr>
              <w:jc w:val="right"/>
              <w:rPr>
                <w:rFonts w:cs="Arial"/>
                <w:lang w:val="en-US"/>
              </w:rPr>
            </w:pPr>
            <w:r w:rsidRPr="00D8666A">
              <w:rPr>
                <w:rFonts w:cs="Arial"/>
                <w:lang w:val="en-US"/>
              </w:rPr>
              <w:t>31</w:t>
            </w:r>
          </w:p>
        </w:tc>
        <w:tc>
          <w:tcPr>
            <w:tcW w:w="1084" w:type="dxa"/>
          </w:tcPr>
          <w:p w:rsidR="002E3EE9" w:rsidRPr="00D8666A" w:rsidRDefault="002E3EE9" w:rsidP="007703A5">
            <w:pPr>
              <w:jc w:val="right"/>
              <w:rPr>
                <w:rFonts w:cs="Arial"/>
                <w:lang w:val="en-US"/>
              </w:rPr>
            </w:pPr>
            <w:r w:rsidRPr="00D8666A">
              <w:rPr>
                <w:rFonts w:cs="Arial"/>
                <w:lang w:val="en-US"/>
              </w:rPr>
              <w:t>36</w:t>
            </w:r>
          </w:p>
        </w:tc>
        <w:tc>
          <w:tcPr>
            <w:tcW w:w="1084" w:type="dxa"/>
          </w:tcPr>
          <w:p w:rsidR="002E3EE9" w:rsidRPr="00D8666A" w:rsidRDefault="002E3EE9" w:rsidP="007703A5">
            <w:pPr>
              <w:jc w:val="right"/>
              <w:rPr>
                <w:rFonts w:cs="Arial"/>
                <w:lang w:val="en-US"/>
              </w:rPr>
            </w:pPr>
            <w:r w:rsidRPr="00D8666A">
              <w:rPr>
                <w:rFonts w:cs="Arial"/>
                <w:lang w:val="en-US"/>
              </w:rPr>
              <w:t>46</w:t>
            </w:r>
          </w:p>
        </w:tc>
        <w:tc>
          <w:tcPr>
            <w:tcW w:w="1163" w:type="dxa"/>
          </w:tcPr>
          <w:p w:rsidR="002E3EE9" w:rsidRPr="00D8666A" w:rsidRDefault="002E3EE9" w:rsidP="007703A5">
            <w:pPr>
              <w:jc w:val="right"/>
              <w:rPr>
                <w:rFonts w:cs="Arial"/>
                <w:lang w:val="en-US"/>
              </w:rPr>
            </w:pPr>
            <w:r>
              <w:rPr>
                <w:rFonts w:cs="Arial"/>
                <w:lang w:val="en-US"/>
              </w:rPr>
              <w:t>42</w:t>
            </w:r>
          </w:p>
        </w:tc>
        <w:tc>
          <w:tcPr>
            <w:tcW w:w="1137" w:type="dxa"/>
          </w:tcPr>
          <w:p w:rsidR="002E3EE9" w:rsidRPr="00D8666A" w:rsidRDefault="002E3EE9" w:rsidP="007703A5">
            <w:pPr>
              <w:jc w:val="right"/>
              <w:rPr>
                <w:rFonts w:cs="Arial"/>
                <w:lang w:val="en-US"/>
              </w:rPr>
            </w:pPr>
            <w:r>
              <w:rPr>
                <w:rFonts w:cs="Arial"/>
                <w:lang w:val="en-US"/>
              </w:rPr>
              <w:t>36</w:t>
            </w:r>
          </w:p>
        </w:tc>
      </w:tr>
      <w:tr w:rsidR="002E3EE9" w:rsidRPr="00D8666A" w:rsidTr="007703A5">
        <w:trPr>
          <w:trHeight w:val="240"/>
        </w:trPr>
        <w:tc>
          <w:tcPr>
            <w:tcW w:w="1778" w:type="dxa"/>
            <w:tcBorders>
              <w:bottom w:val="single" w:sz="8" w:space="0" w:color="000000"/>
            </w:tcBorders>
            <w:shd w:val="clear" w:color="auto" w:fill="E0E0E0"/>
            <w:noWrap/>
            <w:vAlign w:val="bottom"/>
          </w:tcPr>
          <w:p w:rsidR="002E3EE9" w:rsidRPr="00D8666A" w:rsidRDefault="002E3EE9" w:rsidP="007703A5">
            <w:pPr>
              <w:rPr>
                <w:rFonts w:cs="Arial"/>
                <w:b/>
                <w:lang w:val="en-US"/>
              </w:rPr>
            </w:pPr>
            <w:r w:rsidRPr="00D8666A">
              <w:rPr>
                <w:rFonts w:cs="Arial"/>
                <w:b/>
                <w:lang w:val="en-US"/>
              </w:rPr>
              <w:t>Total risks</w:t>
            </w:r>
          </w:p>
        </w:tc>
        <w:tc>
          <w:tcPr>
            <w:tcW w:w="1084" w:type="dxa"/>
            <w:tcBorders>
              <w:bottom w:val="single" w:sz="8" w:space="0" w:color="000000"/>
            </w:tcBorders>
            <w:shd w:val="clear" w:color="auto" w:fill="E0E0E0"/>
            <w:vAlign w:val="bottom"/>
          </w:tcPr>
          <w:p w:rsidR="002E3EE9" w:rsidRPr="00D8666A" w:rsidRDefault="002E3EE9" w:rsidP="007703A5">
            <w:pPr>
              <w:jc w:val="right"/>
              <w:rPr>
                <w:rFonts w:cs="Arial"/>
                <w:b/>
                <w:lang w:val="en-US"/>
              </w:rPr>
            </w:pPr>
            <w:r w:rsidRPr="00D8666A">
              <w:rPr>
                <w:rFonts w:cs="Arial"/>
                <w:b/>
                <w:lang w:val="en-US"/>
              </w:rPr>
              <w:t>87</w:t>
            </w:r>
          </w:p>
        </w:tc>
        <w:tc>
          <w:tcPr>
            <w:tcW w:w="1084" w:type="dxa"/>
            <w:tcBorders>
              <w:bottom w:val="single" w:sz="8" w:space="0" w:color="000000"/>
            </w:tcBorders>
            <w:shd w:val="clear" w:color="auto" w:fill="E0E0E0"/>
          </w:tcPr>
          <w:p w:rsidR="002E3EE9" w:rsidRPr="00D8666A" w:rsidRDefault="002E3EE9" w:rsidP="007703A5">
            <w:pPr>
              <w:jc w:val="right"/>
              <w:rPr>
                <w:rFonts w:cs="Arial"/>
                <w:b/>
                <w:lang w:val="en-US"/>
              </w:rPr>
            </w:pPr>
            <w:r w:rsidRPr="00D8666A">
              <w:rPr>
                <w:rFonts w:cs="Arial"/>
                <w:b/>
                <w:lang w:val="en-US"/>
              </w:rPr>
              <w:t>86</w:t>
            </w:r>
          </w:p>
        </w:tc>
        <w:tc>
          <w:tcPr>
            <w:tcW w:w="1084" w:type="dxa"/>
            <w:tcBorders>
              <w:bottom w:val="single" w:sz="8" w:space="0" w:color="000000"/>
            </w:tcBorders>
            <w:shd w:val="clear" w:color="auto" w:fill="E0E0E0"/>
          </w:tcPr>
          <w:p w:rsidR="002E3EE9" w:rsidRPr="00D8666A" w:rsidRDefault="002E3EE9" w:rsidP="007703A5">
            <w:pPr>
              <w:jc w:val="right"/>
              <w:rPr>
                <w:rFonts w:cs="Arial"/>
                <w:b/>
                <w:lang w:val="en-US"/>
              </w:rPr>
            </w:pPr>
            <w:r w:rsidRPr="00D8666A">
              <w:rPr>
                <w:rFonts w:cs="Arial"/>
                <w:b/>
                <w:lang w:val="en-US"/>
              </w:rPr>
              <w:t>84</w:t>
            </w:r>
          </w:p>
        </w:tc>
        <w:tc>
          <w:tcPr>
            <w:tcW w:w="1163" w:type="dxa"/>
            <w:tcBorders>
              <w:bottom w:val="single" w:sz="8" w:space="0" w:color="000000"/>
            </w:tcBorders>
            <w:shd w:val="clear" w:color="auto" w:fill="E0E0E0"/>
          </w:tcPr>
          <w:p w:rsidR="002E3EE9" w:rsidRPr="00D8666A" w:rsidRDefault="002E3EE9" w:rsidP="007703A5">
            <w:pPr>
              <w:jc w:val="right"/>
              <w:rPr>
                <w:rFonts w:cs="Arial"/>
                <w:b/>
                <w:lang w:val="en-US"/>
              </w:rPr>
            </w:pPr>
            <w:r>
              <w:rPr>
                <w:rFonts w:cs="Arial"/>
                <w:b/>
                <w:lang w:val="en-US"/>
              </w:rPr>
              <w:t>81</w:t>
            </w:r>
          </w:p>
        </w:tc>
        <w:tc>
          <w:tcPr>
            <w:tcW w:w="1137" w:type="dxa"/>
            <w:tcBorders>
              <w:bottom w:val="single" w:sz="8" w:space="0" w:color="000000"/>
            </w:tcBorders>
            <w:shd w:val="clear" w:color="auto" w:fill="E0E0E0"/>
          </w:tcPr>
          <w:p w:rsidR="002E3EE9" w:rsidRPr="00D8666A" w:rsidRDefault="002E3EE9" w:rsidP="007703A5">
            <w:pPr>
              <w:jc w:val="right"/>
              <w:rPr>
                <w:rFonts w:cs="Arial"/>
                <w:b/>
                <w:lang w:val="en-US"/>
              </w:rPr>
            </w:pPr>
            <w:r>
              <w:rPr>
                <w:rFonts w:cs="Arial"/>
                <w:b/>
                <w:lang w:val="en-US"/>
              </w:rPr>
              <w:t>81</w:t>
            </w:r>
          </w:p>
        </w:tc>
      </w:tr>
      <w:tr w:rsidR="002E3EE9" w:rsidRPr="00D8666A" w:rsidTr="007703A5">
        <w:trPr>
          <w:trHeight w:val="240"/>
        </w:trPr>
        <w:tc>
          <w:tcPr>
            <w:tcW w:w="1778"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2E3EE9" w:rsidRPr="00D8666A" w:rsidRDefault="002E3EE9" w:rsidP="007703A5">
            <w:pPr>
              <w:rPr>
                <w:rFonts w:cs="Arial"/>
                <w:lang w:val="en-US"/>
              </w:rPr>
            </w:pPr>
            <w:r w:rsidRPr="00D8666A">
              <w:rPr>
                <w:rFonts w:cs="Arial"/>
                <w:lang w:val="en-US"/>
              </w:rPr>
              <w:t>New risks in quarter</w:t>
            </w:r>
          </w:p>
        </w:tc>
        <w:tc>
          <w:tcPr>
            <w:tcW w:w="1084" w:type="dxa"/>
            <w:tcBorders>
              <w:top w:val="single" w:sz="8" w:space="0" w:color="000000"/>
              <w:left w:val="single" w:sz="8" w:space="0" w:color="000000"/>
              <w:bottom w:val="single" w:sz="8" w:space="0" w:color="000000"/>
              <w:right w:val="single" w:sz="8" w:space="0" w:color="000000"/>
            </w:tcBorders>
            <w:vAlign w:val="bottom"/>
          </w:tcPr>
          <w:p w:rsidR="002E3EE9" w:rsidRPr="00D8666A" w:rsidRDefault="002E3EE9" w:rsidP="007703A5">
            <w:pPr>
              <w:jc w:val="right"/>
              <w:rPr>
                <w:rFonts w:cs="Arial"/>
                <w:lang w:val="en-US"/>
              </w:rPr>
            </w:pPr>
            <w:r w:rsidRPr="00D8666A">
              <w:rPr>
                <w:rFonts w:cs="Arial"/>
                <w:lang w:val="en-US"/>
              </w:rPr>
              <w:t>0</w:t>
            </w:r>
          </w:p>
        </w:tc>
        <w:tc>
          <w:tcPr>
            <w:tcW w:w="1084"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sidRPr="00D8666A">
              <w:rPr>
                <w:rFonts w:cs="Arial"/>
                <w:lang w:val="en-US"/>
              </w:rPr>
              <w:t>0</w:t>
            </w:r>
          </w:p>
        </w:tc>
        <w:tc>
          <w:tcPr>
            <w:tcW w:w="1084"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sidRPr="00D8666A">
              <w:rPr>
                <w:rFonts w:cs="Arial"/>
                <w:lang w:val="en-US"/>
              </w:rPr>
              <w:t>0</w:t>
            </w:r>
          </w:p>
        </w:tc>
        <w:tc>
          <w:tcPr>
            <w:tcW w:w="1163"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sidRPr="00D8666A">
              <w:rPr>
                <w:rFonts w:cs="Arial"/>
                <w:lang w:val="en-US"/>
              </w:rPr>
              <w:t>0</w:t>
            </w:r>
          </w:p>
        </w:tc>
        <w:tc>
          <w:tcPr>
            <w:tcW w:w="1137"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Pr>
                <w:rFonts w:cs="Arial"/>
                <w:lang w:val="en-US"/>
              </w:rPr>
              <w:t>3</w:t>
            </w:r>
          </w:p>
        </w:tc>
      </w:tr>
      <w:tr w:rsidR="002E3EE9" w:rsidRPr="00D8666A" w:rsidTr="007703A5">
        <w:trPr>
          <w:trHeight w:val="240"/>
        </w:trPr>
        <w:tc>
          <w:tcPr>
            <w:tcW w:w="1778"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2E3EE9" w:rsidRPr="00D8666A" w:rsidRDefault="002E3EE9" w:rsidP="007703A5">
            <w:pPr>
              <w:rPr>
                <w:rFonts w:cs="Arial"/>
                <w:lang w:val="en-US"/>
              </w:rPr>
            </w:pPr>
            <w:r w:rsidRPr="00D8666A">
              <w:rPr>
                <w:rFonts w:cs="Arial"/>
                <w:lang w:val="en-US"/>
              </w:rPr>
              <w:t>Closed</w:t>
            </w:r>
          </w:p>
        </w:tc>
        <w:tc>
          <w:tcPr>
            <w:tcW w:w="1084" w:type="dxa"/>
            <w:tcBorders>
              <w:top w:val="single" w:sz="8" w:space="0" w:color="000000"/>
              <w:left w:val="single" w:sz="8" w:space="0" w:color="000000"/>
              <w:bottom w:val="single" w:sz="8" w:space="0" w:color="000000"/>
              <w:right w:val="single" w:sz="8" w:space="0" w:color="000000"/>
            </w:tcBorders>
            <w:vAlign w:val="bottom"/>
          </w:tcPr>
          <w:p w:rsidR="002E3EE9" w:rsidRPr="00D8666A" w:rsidRDefault="002E3EE9" w:rsidP="007703A5">
            <w:pPr>
              <w:jc w:val="right"/>
              <w:rPr>
                <w:rFonts w:cs="Arial"/>
                <w:lang w:val="en-US"/>
              </w:rPr>
            </w:pPr>
            <w:r w:rsidRPr="00D8666A">
              <w:rPr>
                <w:rFonts w:cs="Arial"/>
                <w:lang w:val="en-US"/>
              </w:rPr>
              <w:t>6</w:t>
            </w:r>
          </w:p>
        </w:tc>
        <w:tc>
          <w:tcPr>
            <w:tcW w:w="1084"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sidRPr="00D8666A">
              <w:rPr>
                <w:rFonts w:cs="Arial"/>
                <w:lang w:val="en-US"/>
              </w:rPr>
              <w:t>3</w:t>
            </w:r>
          </w:p>
        </w:tc>
        <w:tc>
          <w:tcPr>
            <w:tcW w:w="1084"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sidRPr="00D8666A">
              <w:rPr>
                <w:rFonts w:cs="Arial"/>
                <w:lang w:val="en-US"/>
              </w:rPr>
              <w:t>2</w:t>
            </w:r>
          </w:p>
        </w:tc>
        <w:tc>
          <w:tcPr>
            <w:tcW w:w="1163"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Pr>
                <w:rFonts w:cs="Arial"/>
                <w:lang w:val="en-US"/>
              </w:rPr>
              <w:t>3</w:t>
            </w:r>
          </w:p>
        </w:tc>
        <w:tc>
          <w:tcPr>
            <w:tcW w:w="1137" w:type="dxa"/>
            <w:tcBorders>
              <w:top w:val="single" w:sz="8" w:space="0" w:color="000000"/>
              <w:left w:val="single" w:sz="8" w:space="0" w:color="000000"/>
              <w:bottom w:val="single" w:sz="8" w:space="0" w:color="000000"/>
              <w:right w:val="single" w:sz="8" w:space="0" w:color="000000"/>
            </w:tcBorders>
          </w:tcPr>
          <w:p w:rsidR="002E3EE9" w:rsidRPr="00D8666A" w:rsidRDefault="002E3EE9" w:rsidP="007703A5">
            <w:pPr>
              <w:jc w:val="right"/>
              <w:rPr>
                <w:rFonts w:cs="Arial"/>
                <w:lang w:val="en-US"/>
              </w:rPr>
            </w:pPr>
            <w:r>
              <w:rPr>
                <w:rFonts w:cs="Arial"/>
                <w:lang w:val="en-US"/>
              </w:rPr>
              <w:t>3</w:t>
            </w:r>
          </w:p>
        </w:tc>
      </w:tr>
    </w:tbl>
    <w:p w:rsidR="002E3EE9" w:rsidRPr="00D8666A" w:rsidRDefault="002E3EE9" w:rsidP="002E3EE9">
      <w:pPr>
        <w:rPr>
          <w:rFonts w:cs="Arial"/>
          <w:color w:val="FF0000"/>
        </w:rPr>
      </w:pPr>
    </w:p>
    <w:p w:rsidR="002E3EE9" w:rsidRPr="006B1F07" w:rsidRDefault="002E3EE9" w:rsidP="002E3EE9">
      <w:pPr>
        <w:ind w:left="720"/>
        <w:jc w:val="both"/>
        <w:rPr>
          <w:rFonts w:cs="Arial"/>
          <w:highlight w:val="yellow"/>
        </w:rPr>
      </w:pPr>
    </w:p>
    <w:p w:rsidR="002E3EE9" w:rsidRPr="00BA55EE" w:rsidRDefault="002E3EE9" w:rsidP="00BA55EE">
      <w:pPr>
        <w:ind w:left="927"/>
        <w:jc w:val="both"/>
        <w:rPr>
          <w:rFonts w:cs="Arial"/>
        </w:rPr>
      </w:pPr>
      <w:r w:rsidRPr="00BA55EE">
        <w:rPr>
          <w:rFonts w:cs="Arial"/>
        </w:rPr>
        <w:t xml:space="preserve">The three new risks are across three service areas. The first is a </w:t>
      </w:r>
      <w:r w:rsidR="006936EB" w:rsidRPr="00BA55EE">
        <w:rPr>
          <w:rFonts w:cs="Arial"/>
        </w:rPr>
        <w:t>gre</w:t>
      </w:r>
      <w:r w:rsidR="002E6C07" w:rsidRPr="00BA55EE">
        <w:rPr>
          <w:rFonts w:cs="Arial"/>
        </w:rPr>
        <w:t>e</w:t>
      </w:r>
      <w:r w:rsidR="006936EB" w:rsidRPr="00BA55EE">
        <w:rPr>
          <w:rFonts w:cs="Arial"/>
        </w:rPr>
        <w:t xml:space="preserve">n </w:t>
      </w:r>
      <w:r w:rsidRPr="00BA55EE">
        <w:rPr>
          <w:rFonts w:cs="Arial"/>
        </w:rPr>
        <w:t xml:space="preserve">risk and relates to calls not being answered in the Contact Call Centre (Customer Services). A number of different solutions </w:t>
      </w:r>
      <w:r w:rsidR="00D851A3" w:rsidRPr="00BA55EE">
        <w:rPr>
          <w:rFonts w:cs="Arial"/>
        </w:rPr>
        <w:t>are being deployed</w:t>
      </w:r>
      <w:r w:rsidRPr="00BA55EE">
        <w:rPr>
          <w:rFonts w:cs="Arial"/>
        </w:rPr>
        <w:t xml:space="preserve"> including</w:t>
      </w:r>
      <w:r w:rsidR="00D851A3" w:rsidRPr="00BA55EE">
        <w:rPr>
          <w:rFonts w:cs="Arial"/>
        </w:rPr>
        <w:t xml:space="preserve"> voice automation for missed bins, </w:t>
      </w:r>
      <w:r w:rsidR="00633D55" w:rsidRPr="00BA55EE">
        <w:rPr>
          <w:rFonts w:cs="Arial"/>
        </w:rPr>
        <w:t>call me back technology,</w:t>
      </w:r>
      <w:r w:rsidRPr="00BA55EE">
        <w:rPr>
          <w:rFonts w:cs="Arial"/>
        </w:rPr>
        <w:t xml:space="preserve"> homeworking and </w:t>
      </w:r>
      <w:r w:rsidR="00633D55" w:rsidRPr="00BA55EE">
        <w:rPr>
          <w:rFonts w:cs="Arial"/>
        </w:rPr>
        <w:t>retendering of the overflow contract</w:t>
      </w:r>
      <w:r w:rsidR="00575630" w:rsidRPr="00BA55EE">
        <w:rPr>
          <w:rFonts w:cs="Arial"/>
        </w:rPr>
        <w:t>.</w:t>
      </w:r>
      <w:r w:rsidR="00DC0110" w:rsidRPr="00BA55EE">
        <w:rPr>
          <w:rFonts w:cs="Arial"/>
        </w:rPr>
        <w:t xml:space="preserve"> For the same period last year the Council was achieving 91.70% of all calls answered against a target of 95%. This month the </w:t>
      </w:r>
      <w:r w:rsidR="00BE6BB9" w:rsidRPr="00BA55EE">
        <w:rPr>
          <w:rFonts w:cs="Arial"/>
        </w:rPr>
        <w:t xml:space="preserve">Council has achieved a </w:t>
      </w:r>
      <w:r w:rsidR="00DC0110" w:rsidRPr="00BA55EE">
        <w:rPr>
          <w:rFonts w:cs="Arial"/>
        </w:rPr>
        <w:t xml:space="preserve">rate </w:t>
      </w:r>
      <w:r w:rsidR="004B0BCD" w:rsidRPr="00BA55EE">
        <w:rPr>
          <w:rFonts w:cs="Arial"/>
        </w:rPr>
        <w:t>o</w:t>
      </w:r>
      <w:r w:rsidR="00BE6BB9" w:rsidRPr="00BA55EE">
        <w:rPr>
          <w:rFonts w:cs="Arial"/>
        </w:rPr>
        <w:t>f</w:t>
      </w:r>
      <w:r w:rsidR="00DC0110" w:rsidRPr="00BA55EE">
        <w:rPr>
          <w:rFonts w:cs="Arial"/>
        </w:rPr>
        <w:t xml:space="preserve"> 93.79%</w:t>
      </w:r>
      <w:r w:rsidR="00BE6BB9" w:rsidRPr="00BA55EE">
        <w:rPr>
          <w:rFonts w:cs="Arial"/>
        </w:rPr>
        <w:t xml:space="preserve"> against the same target of 95%.</w:t>
      </w:r>
      <w:r w:rsidR="00DC0110" w:rsidRPr="00BA55EE">
        <w:rPr>
          <w:rFonts w:cs="Arial"/>
        </w:rPr>
        <w:t xml:space="preserve"> </w:t>
      </w:r>
    </w:p>
    <w:p w:rsidR="002E3EE9" w:rsidRDefault="002E3EE9" w:rsidP="002E3EE9">
      <w:pPr>
        <w:ind w:left="720"/>
        <w:jc w:val="both"/>
        <w:rPr>
          <w:rFonts w:cs="Arial"/>
        </w:rPr>
      </w:pPr>
    </w:p>
    <w:p w:rsidR="002E3EE9" w:rsidRDefault="002E3EE9" w:rsidP="002E3EE9">
      <w:pPr>
        <w:numPr>
          <w:ilvl w:val="0"/>
          <w:numId w:val="2"/>
        </w:numPr>
        <w:jc w:val="both"/>
        <w:rPr>
          <w:rFonts w:cs="Arial"/>
        </w:rPr>
      </w:pPr>
      <w:r>
        <w:rPr>
          <w:rFonts w:cs="Arial"/>
        </w:rPr>
        <w:t>The</w:t>
      </w:r>
      <w:r w:rsidR="00E33028">
        <w:rPr>
          <w:rFonts w:cs="Arial"/>
        </w:rPr>
        <w:t xml:space="preserve"> </w:t>
      </w:r>
      <w:r w:rsidR="000A3B8D">
        <w:rPr>
          <w:rFonts w:cs="Arial"/>
        </w:rPr>
        <w:t>second</w:t>
      </w:r>
      <w:r w:rsidR="002E6C07">
        <w:rPr>
          <w:rFonts w:cs="Arial"/>
        </w:rPr>
        <w:t xml:space="preserve"> </w:t>
      </w:r>
      <w:r w:rsidR="00B67952">
        <w:rPr>
          <w:rFonts w:cs="Arial"/>
        </w:rPr>
        <w:t xml:space="preserve">new risk is </w:t>
      </w:r>
      <w:r>
        <w:rPr>
          <w:rFonts w:cs="Arial"/>
        </w:rPr>
        <w:t xml:space="preserve">green </w:t>
      </w:r>
      <w:r w:rsidR="000A3B8D">
        <w:rPr>
          <w:rFonts w:cs="Arial"/>
        </w:rPr>
        <w:t xml:space="preserve">and </w:t>
      </w:r>
      <w:r>
        <w:rPr>
          <w:rFonts w:cs="Arial"/>
        </w:rPr>
        <w:t>within Environmental Development</w:t>
      </w:r>
      <w:r w:rsidR="000A3B8D">
        <w:rPr>
          <w:rFonts w:cs="Arial"/>
        </w:rPr>
        <w:t>.  It</w:t>
      </w:r>
      <w:r>
        <w:rPr>
          <w:rFonts w:cs="Arial"/>
        </w:rPr>
        <w:t xml:space="preserve"> relates to the revocation of the contaminated land redemption grant previously available from Government</w:t>
      </w:r>
      <w:r w:rsidR="009161EF">
        <w:rPr>
          <w:rFonts w:cs="Arial"/>
        </w:rPr>
        <w:t xml:space="preserve"> and t</w:t>
      </w:r>
      <w:r>
        <w:rPr>
          <w:rFonts w:cs="Arial"/>
        </w:rPr>
        <w:t xml:space="preserve">he </w:t>
      </w:r>
      <w:r w:rsidR="009161EF">
        <w:rPr>
          <w:rFonts w:cs="Arial"/>
        </w:rPr>
        <w:t xml:space="preserve">fact that </w:t>
      </w:r>
      <w:r>
        <w:rPr>
          <w:rFonts w:cs="Arial"/>
        </w:rPr>
        <w:t xml:space="preserve">the Council would need to fund, full or in part, any investigation and remediation to any identified land. The </w:t>
      </w:r>
      <w:r w:rsidR="00652826">
        <w:rPr>
          <w:rFonts w:cs="Arial"/>
        </w:rPr>
        <w:t xml:space="preserve">approved </w:t>
      </w:r>
      <w:r>
        <w:rPr>
          <w:rFonts w:cs="Arial"/>
        </w:rPr>
        <w:t xml:space="preserve">Land Quality Strategy includes using </w:t>
      </w:r>
      <w:r w:rsidR="000A6D04">
        <w:rPr>
          <w:rFonts w:cs="Arial"/>
        </w:rPr>
        <w:t>regulation</w:t>
      </w:r>
      <w:r>
        <w:rPr>
          <w:rFonts w:cs="Arial"/>
        </w:rPr>
        <w:t xml:space="preserve"> as a last resort and secur</w:t>
      </w:r>
      <w:r w:rsidR="00652826">
        <w:rPr>
          <w:rFonts w:cs="Arial"/>
        </w:rPr>
        <w:t>ing</w:t>
      </w:r>
      <w:r>
        <w:rPr>
          <w:rFonts w:cs="Arial"/>
        </w:rPr>
        <w:t xml:space="preserve"> </w:t>
      </w:r>
      <w:r>
        <w:rPr>
          <w:rFonts w:cs="Arial"/>
        </w:rPr>
        <w:lastRenderedPageBreak/>
        <w:t>investigation and remediation through the planning process and voluntary action.</w:t>
      </w:r>
      <w:r w:rsidR="000A6D04">
        <w:rPr>
          <w:rFonts w:cs="Arial"/>
        </w:rPr>
        <w:t xml:space="preserve"> Contingencies have been set aside to support this.</w:t>
      </w:r>
    </w:p>
    <w:p w:rsidR="002E3EE9" w:rsidRDefault="002E3EE9" w:rsidP="002E3EE9">
      <w:pPr>
        <w:ind w:left="720"/>
        <w:jc w:val="both"/>
        <w:rPr>
          <w:rFonts w:cs="Arial"/>
        </w:rPr>
      </w:pPr>
    </w:p>
    <w:p w:rsidR="002E3EE9" w:rsidRDefault="002E3EE9" w:rsidP="002E3EE9">
      <w:pPr>
        <w:numPr>
          <w:ilvl w:val="0"/>
          <w:numId w:val="2"/>
        </w:numPr>
        <w:jc w:val="both"/>
        <w:rPr>
          <w:rFonts w:cs="Arial"/>
        </w:rPr>
      </w:pPr>
      <w:r>
        <w:rPr>
          <w:rFonts w:cs="Arial"/>
        </w:rPr>
        <w:t xml:space="preserve">The </w:t>
      </w:r>
      <w:r w:rsidR="00652373">
        <w:rPr>
          <w:rFonts w:cs="Arial"/>
        </w:rPr>
        <w:t>third</w:t>
      </w:r>
      <w:r>
        <w:rPr>
          <w:rFonts w:cs="Arial"/>
        </w:rPr>
        <w:t xml:space="preserve"> new risk this quarter is amber and </w:t>
      </w:r>
      <w:r w:rsidR="00652373">
        <w:rPr>
          <w:rFonts w:cs="Arial"/>
        </w:rPr>
        <w:t>has been identified by</w:t>
      </w:r>
      <w:r>
        <w:rPr>
          <w:rFonts w:cs="Arial"/>
        </w:rPr>
        <w:t xml:space="preserve"> H</w:t>
      </w:r>
      <w:r w:rsidR="00BA6E6A">
        <w:rPr>
          <w:rFonts w:cs="Arial"/>
        </w:rPr>
        <w:t xml:space="preserve">uman Resources and Facilities and </w:t>
      </w:r>
      <w:r>
        <w:rPr>
          <w:rFonts w:cs="Arial"/>
        </w:rPr>
        <w:t>relates to ineffective internal communications</w:t>
      </w:r>
      <w:r w:rsidR="00652373">
        <w:rPr>
          <w:rFonts w:cs="Arial"/>
        </w:rPr>
        <w:t xml:space="preserve"> impacting on </w:t>
      </w:r>
      <w:r w:rsidR="005D2AA8">
        <w:rPr>
          <w:rFonts w:cs="Arial"/>
        </w:rPr>
        <w:t>staff engagement with HR policies and proceedures</w:t>
      </w:r>
      <w:r>
        <w:rPr>
          <w:rFonts w:cs="Arial"/>
        </w:rPr>
        <w:t>. The HR team are working with Policy Culture and Communications team to design and deliver an internal communication strategy to help maximise staff engagement.</w:t>
      </w:r>
    </w:p>
    <w:p w:rsidR="002E3EE9" w:rsidRPr="00871CD8" w:rsidRDefault="002E3EE9" w:rsidP="002E3EE9">
      <w:pPr>
        <w:ind w:left="720"/>
        <w:jc w:val="both"/>
        <w:rPr>
          <w:rFonts w:cs="Arial"/>
          <w:highlight w:val="yellow"/>
        </w:rPr>
      </w:pPr>
    </w:p>
    <w:p w:rsidR="002E3EE9" w:rsidRDefault="002E3EE9" w:rsidP="002E3EE9">
      <w:pPr>
        <w:jc w:val="both"/>
        <w:rPr>
          <w:rFonts w:cs="Arial"/>
          <w:b/>
        </w:rPr>
      </w:pPr>
      <w:r w:rsidRPr="00871CD8">
        <w:rPr>
          <w:rFonts w:cs="Arial"/>
          <w:b/>
        </w:rPr>
        <w:t>Financial Implications</w:t>
      </w:r>
    </w:p>
    <w:p w:rsidR="002E3EE9" w:rsidRPr="00871CD8" w:rsidRDefault="002E3EE9" w:rsidP="002E3EE9">
      <w:pPr>
        <w:jc w:val="both"/>
        <w:rPr>
          <w:rFonts w:cs="Arial"/>
          <w:b/>
        </w:rPr>
      </w:pPr>
    </w:p>
    <w:p w:rsidR="002E3EE9" w:rsidRPr="00871CD8" w:rsidRDefault="002E3EE9" w:rsidP="002E3EE9">
      <w:pPr>
        <w:numPr>
          <w:ilvl w:val="0"/>
          <w:numId w:val="2"/>
        </w:numPr>
        <w:jc w:val="both"/>
        <w:rPr>
          <w:rFonts w:cs="Arial"/>
        </w:rPr>
      </w:pPr>
      <w:r w:rsidRPr="00871CD8">
        <w:rPr>
          <w:rFonts w:cs="Arial"/>
        </w:rPr>
        <w:t>The Robust management of risk should assist in mitigating the financial impact to the Council should the event occur</w:t>
      </w:r>
      <w:r w:rsidR="00BA6E6A">
        <w:rPr>
          <w:rFonts w:cs="Arial"/>
        </w:rPr>
        <w:t>.</w:t>
      </w:r>
      <w:r>
        <w:rPr>
          <w:rFonts w:cs="Arial"/>
        </w:rPr>
        <w:t xml:space="preserve"> </w:t>
      </w:r>
    </w:p>
    <w:p w:rsidR="002E3EE9" w:rsidRPr="00871CD8" w:rsidRDefault="002E3EE9" w:rsidP="002E3EE9">
      <w:pPr>
        <w:ind w:left="720"/>
        <w:rPr>
          <w:rFonts w:cs="Arial"/>
        </w:rPr>
      </w:pPr>
    </w:p>
    <w:p w:rsidR="002E3EE9" w:rsidRDefault="002E3EE9" w:rsidP="002E3EE9">
      <w:pPr>
        <w:rPr>
          <w:rFonts w:cs="Arial"/>
          <w:b/>
        </w:rPr>
      </w:pPr>
      <w:r w:rsidRPr="00871CD8">
        <w:rPr>
          <w:rFonts w:cs="Arial"/>
          <w:b/>
        </w:rPr>
        <w:t>Legal Implications</w:t>
      </w:r>
    </w:p>
    <w:p w:rsidR="002E3EE9" w:rsidRPr="00871CD8" w:rsidRDefault="002E3EE9" w:rsidP="002E3EE9">
      <w:pPr>
        <w:rPr>
          <w:rFonts w:cs="Arial"/>
          <w:b/>
        </w:rPr>
      </w:pPr>
    </w:p>
    <w:p w:rsidR="001A161B" w:rsidRPr="00871CD8" w:rsidRDefault="001A161B" w:rsidP="001A161B">
      <w:pPr>
        <w:numPr>
          <w:ilvl w:val="0"/>
          <w:numId w:val="2"/>
        </w:numPr>
        <w:jc w:val="both"/>
        <w:rPr>
          <w:rFonts w:cs="Arial"/>
        </w:rPr>
      </w:pPr>
      <w:r>
        <w:rPr>
          <w:rFonts w:cs="Arial"/>
        </w:rPr>
        <w:t xml:space="preserve"> </w:t>
      </w:r>
      <w:r w:rsidRPr="00871CD8">
        <w:rPr>
          <w:rFonts w:cs="Arial"/>
        </w:rPr>
        <w:t>There are no legal implications directly relevant to this report</w:t>
      </w:r>
      <w:r>
        <w:rPr>
          <w:rFonts w:cs="Arial"/>
        </w:rPr>
        <w:t xml:space="preserve"> but having proper arrangements to manage risk throughout the organisation is an important component of corporate governance.</w:t>
      </w:r>
    </w:p>
    <w:p w:rsidR="002E3EE9" w:rsidRPr="002E3EE9" w:rsidRDefault="002E3EE9">
      <w:pPr>
        <w:rPr>
          <w:rFonts w:cs="Arial"/>
          <w:b/>
        </w:rPr>
      </w:pPr>
    </w:p>
    <w:p w:rsidR="007B6E54" w:rsidRDefault="007B6E54">
      <w:pPr>
        <w:rPr>
          <w:rFonts w:cs="Arial"/>
          <w:b/>
        </w:rPr>
      </w:pPr>
      <w:r>
        <w:rPr>
          <w:rFonts w:cs="Arial"/>
          <w:b/>
        </w:rPr>
        <w:t>Environmental Impact</w:t>
      </w:r>
    </w:p>
    <w:p w:rsidR="003B3C72" w:rsidRDefault="003B3C72">
      <w:pPr>
        <w:rPr>
          <w:rFonts w:cs="Arial"/>
          <w:b/>
        </w:rPr>
      </w:pPr>
    </w:p>
    <w:p w:rsidR="002E3EE9" w:rsidRPr="002E3EE9" w:rsidRDefault="002E3EE9" w:rsidP="002E3EE9">
      <w:pPr>
        <w:pStyle w:val="ListParagraph"/>
        <w:numPr>
          <w:ilvl w:val="0"/>
          <w:numId w:val="2"/>
        </w:numPr>
        <w:rPr>
          <w:rFonts w:cs="Arial"/>
        </w:rPr>
      </w:pPr>
      <w:r w:rsidRPr="002E3EE9">
        <w:rPr>
          <w:rFonts w:cs="Arial"/>
        </w:rPr>
        <w:t xml:space="preserve"> This report contains no environmental impact.</w:t>
      </w:r>
    </w:p>
    <w:p w:rsidR="007B6E54" w:rsidRDefault="007B6E54">
      <w:pPr>
        <w:rPr>
          <w:rFonts w:cs="Arial"/>
          <w:b/>
        </w:rPr>
      </w:pPr>
    </w:p>
    <w:p w:rsidR="003B3C72" w:rsidRDefault="007B6E54">
      <w:pPr>
        <w:rPr>
          <w:rFonts w:cs="Arial"/>
          <w:b/>
        </w:rPr>
      </w:pPr>
      <w:r>
        <w:rPr>
          <w:rFonts w:cs="Arial"/>
          <w:b/>
        </w:rPr>
        <w:t xml:space="preserve">Level of Risk </w:t>
      </w:r>
    </w:p>
    <w:p w:rsidR="003B3C72" w:rsidRDefault="003B3C72">
      <w:pPr>
        <w:rPr>
          <w:rFonts w:cs="Arial"/>
          <w:b/>
        </w:rPr>
      </w:pPr>
    </w:p>
    <w:p w:rsidR="007B6E54" w:rsidRPr="003B3C72" w:rsidRDefault="003B3C72" w:rsidP="003B3C72">
      <w:pPr>
        <w:pStyle w:val="ListParagraph"/>
        <w:numPr>
          <w:ilvl w:val="0"/>
          <w:numId w:val="2"/>
        </w:numPr>
        <w:rPr>
          <w:rFonts w:cs="Arial"/>
        </w:rPr>
      </w:pPr>
      <w:r>
        <w:rPr>
          <w:rFonts w:cs="Arial"/>
        </w:rPr>
        <w:t xml:space="preserve"> See appendix A. </w:t>
      </w:r>
    </w:p>
    <w:p w:rsidR="007B6E54" w:rsidRPr="007B6E54" w:rsidRDefault="007B6E54">
      <w:pPr>
        <w:rPr>
          <w:rFonts w:cs="Arial"/>
          <w:b/>
        </w:rPr>
      </w:pPr>
    </w:p>
    <w:p w:rsidR="003B3C72" w:rsidRDefault="007B6E54">
      <w:pPr>
        <w:rPr>
          <w:rFonts w:cs="Arial"/>
          <w:b/>
        </w:rPr>
      </w:pPr>
      <w:r w:rsidRPr="007B6E54">
        <w:rPr>
          <w:rFonts w:cs="Arial"/>
          <w:b/>
        </w:rPr>
        <w:t>Equalities Impact</w:t>
      </w:r>
    </w:p>
    <w:p w:rsidR="003B3C72" w:rsidRPr="00276312" w:rsidRDefault="003B3C72" w:rsidP="00276312">
      <w:pPr>
        <w:pStyle w:val="ListParagraph"/>
        <w:rPr>
          <w:rFonts w:cs="Arial"/>
        </w:rPr>
      </w:pPr>
    </w:p>
    <w:p w:rsidR="00276312" w:rsidRPr="00276312" w:rsidRDefault="00140C20" w:rsidP="00276312">
      <w:pPr>
        <w:pStyle w:val="ListParagraph"/>
        <w:numPr>
          <w:ilvl w:val="0"/>
          <w:numId w:val="2"/>
        </w:numPr>
      </w:pPr>
      <w:r>
        <w:rPr>
          <w:rFonts w:cs="Arial"/>
        </w:rPr>
        <w:t xml:space="preserve"> </w:t>
      </w:r>
      <w:r w:rsidR="00276312" w:rsidRPr="00276312">
        <w:rPr>
          <w:rFonts w:cs="Arial"/>
        </w:rPr>
        <w:t>This report contains no environmental impact.</w:t>
      </w:r>
    </w:p>
    <w:p w:rsidR="007B6E54" w:rsidRPr="00140C20" w:rsidRDefault="007B6E54" w:rsidP="00276312">
      <w:pPr>
        <w:pStyle w:val="ListParagraph"/>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2E3EE9">
              <w:t>: Shaun Vinnicombe</w:t>
            </w:r>
          </w:p>
        </w:tc>
      </w:tr>
      <w:tr w:rsidR="00713675">
        <w:tc>
          <w:tcPr>
            <w:tcW w:w="8522" w:type="dxa"/>
          </w:tcPr>
          <w:p w:rsidR="00713675" w:rsidRDefault="00713675" w:rsidP="00855C66">
            <w:pPr>
              <w:tabs>
                <w:tab w:val="left" w:pos="720"/>
                <w:tab w:val="left" w:pos="1440"/>
                <w:tab w:val="left" w:pos="2160"/>
                <w:tab w:val="left" w:pos="2880"/>
              </w:tabs>
            </w:pPr>
            <w:r>
              <w:t>Job title</w:t>
            </w:r>
            <w:r w:rsidR="002E3EE9">
              <w:t>: Risk and Insurance Officer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2E3EE9">
              <w:t>: Finance</w:t>
            </w:r>
          </w:p>
        </w:tc>
      </w:tr>
      <w:tr w:rsidR="00713675">
        <w:tc>
          <w:tcPr>
            <w:tcW w:w="8522" w:type="dxa"/>
          </w:tcPr>
          <w:p w:rsidR="00713675" w:rsidRDefault="00713675" w:rsidP="002E3EE9">
            <w:pPr>
              <w:tabs>
                <w:tab w:val="left" w:pos="720"/>
                <w:tab w:val="left" w:pos="1440"/>
                <w:tab w:val="left" w:pos="2160"/>
                <w:tab w:val="left" w:pos="2880"/>
              </w:tabs>
            </w:pPr>
            <w:r>
              <w:t xml:space="preserve">Tel:  01865 </w:t>
            </w:r>
            <w:r w:rsidR="002E3EE9">
              <w:t>252048</w:t>
            </w:r>
            <w:r>
              <w:t xml:space="preserve">  e-mail:  </w:t>
            </w:r>
            <w:hyperlink r:id="rId10" w:history="1">
              <w:r w:rsidR="002E3EE9" w:rsidRPr="00280484">
                <w:rPr>
                  <w:rStyle w:val="Hyperlink"/>
                </w:rPr>
                <w:t>svinnicombe@oxford.gov.uk</w:t>
              </w:r>
            </w:hyperlink>
            <w:r w:rsidR="002E3EE9">
              <w:t xml:space="preserve"> </w:t>
            </w:r>
          </w:p>
          <w:p w:rsidR="002E3EE9" w:rsidRDefault="002E3EE9" w:rsidP="002E3EE9">
            <w:pPr>
              <w:tabs>
                <w:tab w:val="left" w:pos="720"/>
                <w:tab w:val="left" w:pos="1440"/>
                <w:tab w:val="left" w:pos="2160"/>
                <w:tab w:val="left" w:pos="2880"/>
              </w:tabs>
              <w:rPr>
                <w:color w:val="0000FF"/>
                <w:u w:val="single"/>
              </w:rPr>
            </w:pPr>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E7" w:rsidRDefault="009F16E7">
      <w:r>
        <w:separator/>
      </w:r>
    </w:p>
  </w:endnote>
  <w:endnote w:type="continuationSeparator" w:id="0">
    <w:p w:rsidR="009F16E7" w:rsidRDefault="009F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E7" w:rsidRDefault="009F16E7">
      <w:r>
        <w:separator/>
      </w:r>
    </w:p>
  </w:footnote>
  <w:footnote w:type="continuationSeparator" w:id="0">
    <w:p w:rsidR="009F16E7" w:rsidRDefault="009F1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2C0B23"/>
    <w:multiLevelType w:val="hybridMultilevel"/>
    <w:tmpl w:val="9D3EBC30"/>
    <w:lvl w:ilvl="0" w:tplc="7C06539E">
      <w:start w:val="1"/>
      <w:numFmt w:val="decimal"/>
      <w:lvlText w:val="%1)"/>
      <w:lvlJc w:val="left"/>
      <w:pPr>
        <w:tabs>
          <w:tab w:val="num" w:pos="927"/>
        </w:tabs>
        <w:ind w:left="927"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1F"/>
    <w:rsid w:val="00033048"/>
    <w:rsid w:val="00036DAB"/>
    <w:rsid w:val="00056263"/>
    <w:rsid w:val="000A3B8D"/>
    <w:rsid w:val="000A6D04"/>
    <w:rsid w:val="000C3928"/>
    <w:rsid w:val="00101FA7"/>
    <w:rsid w:val="00140C20"/>
    <w:rsid w:val="001A161B"/>
    <w:rsid w:val="001C2AC6"/>
    <w:rsid w:val="00276312"/>
    <w:rsid w:val="002D2EA4"/>
    <w:rsid w:val="002E3EE9"/>
    <w:rsid w:val="002E6C07"/>
    <w:rsid w:val="003B3C72"/>
    <w:rsid w:val="003D2DE8"/>
    <w:rsid w:val="00465EAF"/>
    <w:rsid w:val="004B0BCD"/>
    <w:rsid w:val="0052634D"/>
    <w:rsid w:val="00531D50"/>
    <w:rsid w:val="00575630"/>
    <w:rsid w:val="00590807"/>
    <w:rsid w:val="005D2AA8"/>
    <w:rsid w:val="00622094"/>
    <w:rsid w:val="00623C2F"/>
    <w:rsid w:val="00633D55"/>
    <w:rsid w:val="00652373"/>
    <w:rsid w:val="00652826"/>
    <w:rsid w:val="006936EB"/>
    <w:rsid w:val="006E3B55"/>
    <w:rsid w:val="006F416B"/>
    <w:rsid w:val="00713675"/>
    <w:rsid w:val="007B6E54"/>
    <w:rsid w:val="00855C66"/>
    <w:rsid w:val="008D3DDB"/>
    <w:rsid w:val="00915BA2"/>
    <w:rsid w:val="009161EF"/>
    <w:rsid w:val="00971689"/>
    <w:rsid w:val="00973E90"/>
    <w:rsid w:val="00980D7A"/>
    <w:rsid w:val="009D30E0"/>
    <w:rsid w:val="009F16E7"/>
    <w:rsid w:val="00A34D9D"/>
    <w:rsid w:val="00A92D8F"/>
    <w:rsid w:val="00AD3292"/>
    <w:rsid w:val="00AE5AB8"/>
    <w:rsid w:val="00B619FB"/>
    <w:rsid w:val="00B67952"/>
    <w:rsid w:val="00B71923"/>
    <w:rsid w:val="00B91F1F"/>
    <w:rsid w:val="00BA55EE"/>
    <w:rsid w:val="00BA6E6A"/>
    <w:rsid w:val="00BE6BB9"/>
    <w:rsid w:val="00C2692F"/>
    <w:rsid w:val="00CB1ED3"/>
    <w:rsid w:val="00CC3662"/>
    <w:rsid w:val="00D851A3"/>
    <w:rsid w:val="00DC0110"/>
    <w:rsid w:val="00E01F42"/>
    <w:rsid w:val="00E33028"/>
    <w:rsid w:val="00E84050"/>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E3EE9"/>
    <w:pPr>
      <w:ind w:left="720"/>
    </w:pPr>
  </w:style>
  <w:style w:type="character" w:customStyle="1" w:styleId="CommentTextChar">
    <w:name w:val="Comment Text Char"/>
    <w:link w:val="CommentText"/>
    <w:uiPriority w:val="99"/>
    <w:semiHidden/>
    <w:rsid w:val="002E3EE9"/>
    <w:rPr>
      <w:rFonts w:ascii="Arial" w:hAnsi="Arial"/>
      <w:lang w:eastAsia="en-US"/>
    </w:rPr>
  </w:style>
  <w:style w:type="table" w:styleId="TableGrid">
    <w:name w:val="Table Grid"/>
    <w:basedOn w:val="TableNormal"/>
    <w:uiPriority w:val="59"/>
    <w:rsid w:val="001A161B"/>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795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E3EE9"/>
    <w:pPr>
      <w:ind w:left="720"/>
    </w:pPr>
  </w:style>
  <w:style w:type="character" w:customStyle="1" w:styleId="CommentTextChar">
    <w:name w:val="Comment Text Char"/>
    <w:link w:val="CommentText"/>
    <w:uiPriority w:val="99"/>
    <w:semiHidden/>
    <w:rsid w:val="002E3EE9"/>
    <w:rPr>
      <w:rFonts w:ascii="Arial" w:hAnsi="Arial"/>
      <w:lang w:eastAsia="en-US"/>
    </w:rPr>
  </w:style>
  <w:style w:type="table" w:styleId="TableGrid">
    <w:name w:val="Table Grid"/>
    <w:basedOn w:val="TableNormal"/>
    <w:uiPriority w:val="59"/>
    <w:rsid w:val="001A161B"/>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795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vinnicombe@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69F5D00C</Template>
  <TotalTime>2</TotalTime>
  <Pages>4</Pages>
  <Words>915</Words>
  <Characters>4638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shaun.vinnicombe</dc:creator>
  <cp:lastModifiedBy>Thompson, Jennifer - Oxford City Council</cp:lastModifiedBy>
  <cp:revision>3</cp:revision>
  <cp:lastPrinted>2010-10-15T09:32:00Z</cp:lastPrinted>
  <dcterms:created xsi:type="dcterms:W3CDTF">2014-12-08T17:49:00Z</dcterms:created>
  <dcterms:modified xsi:type="dcterms:W3CDTF">2014-12-10T15:18:00Z</dcterms:modified>
</cp:coreProperties>
</file>